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5D" w:rsidRPr="00FF49F4" w:rsidRDefault="00FF49F4" w:rsidP="00AA185D">
      <w:pPr>
        <w:jc w:val="center"/>
        <w:rPr>
          <w:b/>
        </w:rPr>
      </w:pPr>
      <w:r w:rsidRPr="00FF49F4">
        <w:rPr>
          <w:b/>
        </w:rPr>
        <w:t>Using “Semaphores” to Summarize Findings</w:t>
      </w:r>
    </w:p>
    <w:p w:rsidR="00230163" w:rsidRPr="00FF49F4" w:rsidRDefault="00230163" w:rsidP="00AA185D">
      <w:pPr>
        <w:jc w:val="center"/>
        <w:rPr>
          <w:b/>
        </w:rPr>
      </w:pPr>
    </w:p>
    <w:p w:rsidR="001439B1" w:rsidRPr="00FF49F4" w:rsidRDefault="001439B1" w:rsidP="001439B1">
      <w:pPr>
        <w:rPr>
          <w:b/>
        </w:rPr>
      </w:pPr>
      <w:r w:rsidRPr="00FF49F4">
        <w:rPr>
          <w:b/>
        </w:rPr>
        <w:t>Introduction</w:t>
      </w:r>
    </w:p>
    <w:tbl>
      <w:tblPr>
        <w:tblpPr w:leftFromText="180" w:rightFromText="180" w:vertAnchor="text" w:horzAnchor="margin" w:tblpXSpec="right"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tblGrid>
      <w:tr w:rsidR="00FF49F4" w:rsidRPr="00622AEA" w:rsidTr="00622AEA">
        <w:tc>
          <w:tcPr>
            <w:tcW w:w="3834" w:type="dxa"/>
            <w:shd w:val="clear" w:color="auto" w:fill="DBE5F1"/>
          </w:tcPr>
          <w:p w:rsidR="00FF49F4" w:rsidRPr="00622AEA" w:rsidRDefault="00FF49F4" w:rsidP="00622AEA">
            <w:pPr>
              <w:rPr>
                <w:b/>
                <w:i/>
                <w:color w:val="0F243E"/>
              </w:rPr>
            </w:pPr>
            <w:r w:rsidRPr="00622AEA">
              <w:rPr>
                <w:b/>
                <w:i/>
                <w:color w:val="0F243E"/>
              </w:rPr>
              <w:t>Semaphore</w:t>
            </w:r>
          </w:p>
          <w:p w:rsidR="00FF49F4" w:rsidRPr="00622AEA" w:rsidRDefault="00FF49F4" w:rsidP="00622AEA">
            <w:pPr>
              <w:rPr>
                <w:b/>
                <w:color w:val="0F243E"/>
              </w:rPr>
            </w:pPr>
            <w:r w:rsidRPr="00622AEA">
              <w:rPr>
                <w:color w:val="0F243E"/>
              </w:rPr>
              <w:t>A semaphore is a way of signaling or conveying information using visual systems such as charts or flags.</w:t>
            </w:r>
          </w:p>
        </w:tc>
      </w:tr>
    </w:tbl>
    <w:p w:rsidR="006B79EC" w:rsidRPr="00FF49F4" w:rsidRDefault="001439B1" w:rsidP="006B79EC">
      <w:pPr>
        <w:numPr>
          <w:ilvl w:val="0"/>
          <w:numId w:val="17"/>
        </w:numPr>
      </w:pPr>
      <w:r w:rsidRPr="00FF49F4">
        <w:t>Evidence-based r</w:t>
      </w:r>
      <w:r w:rsidR="00AA185D" w:rsidRPr="00FF49F4">
        <w:t>eviews should</w:t>
      </w:r>
      <w:r w:rsidRPr="00FF49F4">
        <w:t xml:space="preserve"> be transparent and</w:t>
      </w:r>
      <w:r w:rsidR="00AA185D" w:rsidRPr="00FF49F4">
        <w:t xml:space="preserve"> include text summaries, evidence syntheses and individual study reviews along with methods</w:t>
      </w:r>
      <w:r w:rsidRPr="00FF49F4">
        <w:t>.</w:t>
      </w:r>
    </w:p>
    <w:p w:rsidR="00AA185D" w:rsidRPr="00FF49F4" w:rsidRDefault="006B79EC" w:rsidP="006B79EC">
      <w:pPr>
        <w:numPr>
          <w:ilvl w:val="0"/>
          <w:numId w:val="17"/>
        </w:numPr>
      </w:pPr>
      <w:r w:rsidRPr="00FF49F4">
        <w:t>Key points from systematic and other reviews are often difficult for readers or audiences to quickly grasp.</w:t>
      </w:r>
      <w:r w:rsidR="00AA185D" w:rsidRPr="00FF49F4">
        <w:t xml:space="preserve"> </w:t>
      </w:r>
    </w:p>
    <w:p w:rsidR="00AA185D" w:rsidRPr="00FF49F4" w:rsidRDefault="006B79EC" w:rsidP="00AA185D">
      <w:pPr>
        <w:numPr>
          <w:ilvl w:val="0"/>
          <w:numId w:val="17"/>
        </w:numPr>
      </w:pPr>
      <w:r w:rsidRPr="00FF49F4">
        <w:t>Adding a semaphore may help users understand key points.</w:t>
      </w:r>
    </w:p>
    <w:p w:rsidR="001439B1" w:rsidRPr="00FF49F4" w:rsidRDefault="006B79EC" w:rsidP="00AA185D">
      <w:pPr>
        <w:numPr>
          <w:ilvl w:val="0"/>
          <w:numId w:val="17"/>
        </w:numPr>
      </w:pPr>
      <w:r w:rsidRPr="00FF49F4">
        <w:t>Semaphores</w:t>
      </w:r>
      <w:r w:rsidR="001439B1" w:rsidRPr="00FF49F4">
        <w:t xml:space="preserve"> can be used to convey answers to key questions or information about evidence quality, confidence in findings, size of results, etc.</w:t>
      </w:r>
    </w:p>
    <w:p w:rsidR="006B79EC" w:rsidRPr="00FF49F4" w:rsidRDefault="006B79EC" w:rsidP="00AA185D">
      <w:pPr>
        <w:numPr>
          <w:ilvl w:val="0"/>
          <w:numId w:val="17"/>
        </w:numPr>
      </w:pPr>
      <w:r w:rsidRPr="00FF49F4">
        <w:t>Variables include considerations/questions, ratings or other information.</w:t>
      </w:r>
    </w:p>
    <w:p w:rsidR="00FF49F4" w:rsidRPr="00FF49F4" w:rsidRDefault="001439B1" w:rsidP="00AA185D">
      <w:pPr>
        <w:numPr>
          <w:ilvl w:val="0"/>
          <w:numId w:val="17"/>
        </w:numPr>
        <w:rPr>
          <w:b/>
          <w:sz w:val="18"/>
          <w:szCs w:val="18"/>
        </w:rPr>
      </w:pPr>
      <w:r w:rsidRPr="00FF49F4">
        <w:t>Several examples are provided below.</w:t>
      </w:r>
    </w:p>
    <w:p w:rsidR="001439B1" w:rsidRPr="0064726A" w:rsidRDefault="00FF49F4" w:rsidP="00AA185D">
      <w:pPr>
        <w:numPr>
          <w:ilvl w:val="0"/>
          <w:numId w:val="17"/>
        </w:numPr>
        <w:rPr>
          <w:b/>
          <w:sz w:val="18"/>
          <w:szCs w:val="18"/>
        </w:rPr>
      </w:pPr>
      <w:r>
        <w:t>LOE = Level of Evidence</w:t>
      </w:r>
      <w:r w:rsidR="00C740A7" w:rsidRPr="00FF49F4">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1685"/>
        <w:gridCol w:w="2319"/>
        <w:gridCol w:w="1983"/>
        <w:gridCol w:w="2147"/>
        <w:gridCol w:w="3160"/>
      </w:tblGrid>
      <w:tr w:rsidR="006B79EC" w:rsidRPr="00FF49F4" w:rsidTr="00B82A8A">
        <w:tc>
          <w:tcPr>
            <w:tcW w:w="13878" w:type="dxa"/>
            <w:gridSpan w:val="6"/>
            <w:shd w:val="clear" w:color="auto" w:fill="EEECE1"/>
          </w:tcPr>
          <w:p w:rsidR="006B79EC" w:rsidRPr="00FF49F4" w:rsidRDefault="006B79EC" w:rsidP="00C36854">
            <w:pPr>
              <w:numPr>
                <w:ilvl w:val="0"/>
                <w:numId w:val="19"/>
              </w:numPr>
              <w:rPr>
                <w:b/>
                <w:szCs w:val="18"/>
              </w:rPr>
            </w:pPr>
            <w:r w:rsidRPr="00FF49F4">
              <w:rPr>
                <w:b/>
                <w:szCs w:val="18"/>
              </w:rPr>
              <w:t xml:space="preserve"> Example of </w:t>
            </w:r>
            <w:r w:rsidR="00C740A7" w:rsidRPr="00FF49F4">
              <w:rPr>
                <w:b/>
                <w:szCs w:val="18"/>
              </w:rPr>
              <w:t>Rating  Studies for Bias</w:t>
            </w:r>
          </w:p>
        </w:tc>
      </w:tr>
      <w:tr w:rsidR="00C740A7" w:rsidRPr="00FF49F4" w:rsidTr="00B82A8A">
        <w:tc>
          <w:tcPr>
            <w:tcW w:w="2584" w:type="dxa"/>
            <w:shd w:val="clear" w:color="auto" w:fill="auto"/>
          </w:tcPr>
          <w:p w:rsidR="00C740A7" w:rsidRPr="00FF49F4" w:rsidRDefault="00C740A7" w:rsidP="00FF49F4">
            <w:pPr>
              <w:jc w:val="center"/>
              <w:rPr>
                <w:b/>
                <w:szCs w:val="18"/>
              </w:rPr>
            </w:pPr>
            <w:r w:rsidRPr="00FF49F4">
              <w:rPr>
                <w:b/>
                <w:szCs w:val="18"/>
              </w:rPr>
              <w:t>Study</w:t>
            </w:r>
          </w:p>
        </w:tc>
        <w:tc>
          <w:tcPr>
            <w:tcW w:w="1685" w:type="dxa"/>
            <w:shd w:val="clear" w:color="auto" w:fill="auto"/>
          </w:tcPr>
          <w:p w:rsidR="00C740A7" w:rsidRPr="00FF49F4" w:rsidRDefault="00C740A7" w:rsidP="00FF49F4">
            <w:pPr>
              <w:jc w:val="center"/>
              <w:rPr>
                <w:b/>
                <w:szCs w:val="18"/>
              </w:rPr>
            </w:pPr>
            <w:r w:rsidRPr="00FF49F4">
              <w:rPr>
                <w:b/>
                <w:szCs w:val="18"/>
              </w:rPr>
              <w:t>Selection Bias</w:t>
            </w:r>
          </w:p>
        </w:tc>
        <w:tc>
          <w:tcPr>
            <w:tcW w:w="2319" w:type="dxa"/>
            <w:shd w:val="clear" w:color="auto" w:fill="auto"/>
          </w:tcPr>
          <w:p w:rsidR="00C740A7" w:rsidRPr="00FF49F4" w:rsidRDefault="00C740A7" w:rsidP="00FF49F4">
            <w:pPr>
              <w:jc w:val="center"/>
              <w:rPr>
                <w:b/>
                <w:szCs w:val="18"/>
              </w:rPr>
            </w:pPr>
            <w:r w:rsidRPr="00FF49F4">
              <w:rPr>
                <w:b/>
                <w:szCs w:val="18"/>
              </w:rPr>
              <w:t>Performance Bias</w:t>
            </w:r>
          </w:p>
        </w:tc>
        <w:tc>
          <w:tcPr>
            <w:tcW w:w="1983" w:type="dxa"/>
            <w:shd w:val="clear" w:color="auto" w:fill="auto"/>
          </w:tcPr>
          <w:p w:rsidR="00C740A7" w:rsidRPr="00FF49F4" w:rsidRDefault="00C740A7" w:rsidP="00FF49F4">
            <w:pPr>
              <w:jc w:val="center"/>
              <w:rPr>
                <w:b/>
                <w:szCs w:val="18"/>
              </w:rPr>
            </w:pPr>
            <w:r w:rsidRPr="00FF49F4">
              <w:rPr>
                <w:b/>
                <w:szCs w:val="18"/>
              </w:rPr>
              <w:t>Attrition Bias</w:t>
            </w:r>
          </w:p>
        </w:tc>
        <w:tc>
          <w:tcPr>
            <w:tcW w:w="2147" w:type="dxa"/>
            <w:shd w:val="clear" w:color="auto" w:fill="auto"/>
          </w:tcPr>
          <w:p w:rsidR="00C740A7" w:rsidRPr="00FF49F4" w:rsidRDefault="00C740A7" w:rsidP="00FF49F4">
            <w:pPr>
              <w:jc w:val="center"/>
              <w:rPr>
                <w:b/>
                <w:szCs w:val="18"/>
              </w:rPr>
            </w:pPr>
            <w:r w:rsidRPr="00FF49F4">
              <w:rPr>
                <w:b/>
                <w:szCs w:val="18"/>
              </w:rPr>
              <w:t>Assessment Bias</w:t>
            </w:r>
          </w:p>
        </w:tc>
        <w:tc>
          <w:tcPr>
            <w:tcW w:w="3160" w:type="dxa"/>
            <w:shd w:val="clear" w:color="auto" w:fill="auto"/>
          </w:tcPr>
          <w:p w:rsidR="00C740A7" w:rsidRPr="00FF49F4" w:rsidRDefault="00C740A7" w:rsidP="00FF49F4">
            <w:pPr>
              <w:jc w:val="center"/>
              <w:rPr>
                <w:b/>
                <w:szCs w:val="18"/>
              </w:rPr>
            </w:pPr>
            <w:r w:rsidRPr="00FF49F4">
              <w:rPr>
                <w:b/>
                <w:szCs w:val="18"/>
              </w:rPr>
              <w:t>Other</w:t>
            </w:r>
          </w:p>
        </w:tc>
      </w:tr>
      <w:tr w:rsidR="00C740A7" w:rsidRPr="00FF49F4" w:rsidTr="00B82A8A">
        <w:tc>
          <w:tcPr>
            <w:tcW w:w="2584" w:type="dxa"/>
            <w:shd w:val="clear" w:color="auto" w:fill="auto"/>
          </w:tcPr>
          <w:p w:rsidR="00C740A7" w:rsidRPr="00FF49F4" w:rsidRDefault="00C740A7" w:rsidP="006B79EC">
            <w:pPr>
              <w:rPr>
                <w:b/>
                <w:szCs w:val="18"/>
              </w:rPr>
            </w:pPr>
            <w:r w:rsidRPr="00FF49F4">
              <w:rPr>
                <w:b/>
                <w:szCs w:val="18"/>
              </w:rPr>
              <w:t>Study A</w:t>
            </w:r>
          </w:p>
        </w:tc>
        <w:tc>
          <w:tcPr>
            <w:tcW w:w="1685" w:type="dxa"/>
            <w:shd w:val="clear" w:color="auto" w:fill="00B050"/>
          </w:tcPr>
          <w:p w:rsidR="00C740A7" w:rsidRPr="00FF49F4" w:rsidRDefault="00C740A7" w:rsidP="006B79EC">
            <w:pPr>
              <w:rPr>
                <w:b/>
                <w:szCs w:val="18"/>
              </w:rPr>
            </w:pPr>
            <w:r w:rsidRPr="00FF49F4">
              <w:rPr>
                <w:b/>
                <w:szCs w:val="18"/>
              </w:rPr>
              <w:t>Low risk</w:t>
            </w:r>
          </w:p>
        </w:tc>
        <w:tc>
          <w:tcPr>
            <w:tcW w:w="2319" w:type="dxa"/>
            <w:shd w:val="clear" w:color="auto" w:fill="00B050"/>
          </w:tcPr>
          <w:p w:rsidR="00C740A7" w:rsidRPr="00FF49F4" w:rsidRDefault="00C740A7" w:rsidP="006B79EC">
            <w:pPr>
              <w:rPr>
                <w:b/>
                <w:szCs w:val="18"/>
              </w:rPr>
            </w:pPr>
            <w:r w:rsidRPr="00FF49F4">
              <w:rPr>
                <w:b/>
                <w:szCs w:val="18"/>
              </w:rPr>
              <w:t>Low risk</w:t>
            </w:r>
          </w:p>
        </w:tc>
        <w:tc>
          <w:tcPr>
            <w:tcW w:w="1983" w:type="dxa"/>
            <w:shd w:val="clear" w:color="auto" w:fill="00B050"/>
          </w:tcPr>
          <w:p w:rsidR="00C740A7" w:rsidRPr="00FF49F4" w:rsidRDefault="00C740A7" w:rsidP="00C740A7">
            <w:pPr>
              <w:rPr>
                <w:b/>
                <w:szCs w:val="18"/>
              </w:rPr>
            </w:pPr>
            <w:r w:rsidRPr="00FF49F4">
              <w:rPr>
                <w:b/>
                <w:szCs w:val="18"/>
              </w:rPr>
              <w:t>Low risk</w:t>
            </w:r>
          </w:p>
        </w:tc>
        <w:tc>
          <w:tcPr>
            <w:tcW w:w="2147" w:type="dxa"/>
            <w:shd w:val="clear" w:color="auto" w:fill="FFFF00"/>
          </w:tcPr>
          <w:p w:rsidR="00C740A7" w:rsidRPr="00FF49F4" w:rsidRDefault="00C740A7" w:rsidP="006B79EC">
            <w:pPr>
              <w:rPr>
                <w:b/>
                <w:szCs w:val="18"/>
              </w:rPr>
            </w:pPr>
            <w:r w:rsidRPr="00FF49F4">
              <w:rPr>
                <w:b/>
                <w:szCs w:val="18"/>
              </w:rPr>
              <w:t>Unclear risk</w:t>
            </w:r>
          </w:p>
        </w:tc>
        <w:tc>
          <w:tcPr>
            <w:tcW w:w="3160" w:type="dxa"/>
            <w:shd w:val="clear" w:color="auto" w:fill="FFFF00"/>
          </w:tcPr>
          <w:p w:rsidR="00C740A7" w:rsidRPr="00FF49F4" w:rsidRDefault="00C740A7" w:rsidP="006B79EC">
            <w:pPr>
              <w:rPr>
                <w:b/>
                <w:szCs w:val="18"/>
              </w:rPr>
            </w:pPr>
            <w:r w:rsidRPr="00FF49F4">
              <w:rPr>
                <w:b/>
                <w:szCs w:val="18"/>
              </w:rPr>
              <w:t>Single author</w:t>
            </w:r>
          </w:p>
        </w:tc>
      </w:tr>
      <w:tr w:rsidR="00C740A7" w:rsidRPr="00FF49F4" w:rsidTr="00431229">
        <w:tc>
          <w:tcPr>
            <w:tcW w:w="2584" w:type="dxa"/>
            <w:shd w:val="clear" w:color="auto" w:fill="auto"/>
          </w:tcPr>
          <w:p w:rsidR="00C740A7" w:rsidRPr="00FF49F4" w:rsidRDefault="00C740A7" w:rsidP="006B79EC">
            <w:pPr>
              <w:rPr>
                <w:b/>
                <w:szCs w:val="18"/>
              </w:rPr>
            </w:pPr>
            <w:r w:rsidRPr="00FF49F4">
              <w:rPr>
                <w:b/>
                <w:szCs w:val="18"/>
              </w:rPr>
              <w:t>Study B</w:t>
            </w:r>
          </w:p>
        </w:tc>
        <w:tc>
          <w:tcPr>
            <w:tcW w:w="1685" w:type="dxa"/>
            <w:shd w:val="clear" w:color="auto" w:fill="00B050"/>
          </w:tcPr>
          <w:p w:rsidR="00C740A7" w:rsidRPr="00FF49F4" w:rsidRDefault="00C740A7" w:rsidP="006B79EC">
            <w:pPr>
              <w:rPr>
                <w:b/>
                <w:szCs w:val="18"/>
              </w:rPr>
            </w:pPr>
            <w:r w:rsidRPr="00FF49F4">
              <w:rPr>
                <w:b/>
                <w:szCs w:val="18"/>
              </w:rPr>
              <w:t>Low risk</w:t>
            </w:r>
          </w:p>
        </w:tc>
        <w:tc>
          <w:tcPr>
            <w:tcW w:w="2319" w:type="dxa"/>
            <w:shd w:val="clear" w:color="auto" w:fill="FFFF00"/>
          </w:tcPr>
          <w:p w:rsidR="00C740A7" w:rsidRPr="00FF49F4" w:rsidRDefault="00C740A7" w:rsidP="006B79EC">
            <w:pPr>
              <w:rPr>
                <w:b/>
                <w:szCs w:val="18"/>
              </w:rPr>
            </w:pPr>
            <w:r w:rsidRPr="00FF49F4">
              <w:rPr>
                <w:b/>
                <w:szCs w:val="18"/>
              </w:rPr>
              <w:t>Unclear risk</w:t>
            </w:r>
          </w:p>
        </w:tc>
        <w:tc>
          <w:tcPr>
            <w:tcW w:w="1983" w:type="dxa"/>
            <w:shd w:val="clear" w:color="auto" w:fill="FABF8F" w:themeFill="accent6" w:themeFillTint="99"/>
          </w:tcPr>
          <w:p w:rsidR="00C740A7" w:rsidRPr="00FF49F4" w:rsidRDefault="00C740A7" w:rsidP="006B79EC">
            <w:pPr>
              <w:rPr>
                <w:b/>
                <w:szCs w:val="18"/>
              </w:rPr>
            </w:pPr>
            <w:r w:rsidRPr="00FF49F4">
              <w:rPr>
                <w:b/>
                <w:szCs w:val="18"/>
              </w:rPr>
              <w:t>High risk</w:t>
            </w:r>
          </w:p>
        </w:tc>
        <w:tc>
          <w:tcPr>
            <w:tcW w:w="2147" w:type="dxa"/>
            <w:shd w:val="clear" w:color="auto" w:fill="FABF8F" w:themeFill="accent6" w:themeFillTint="99"/>
          </w:tcPr>
          <w:p w:rsidR="00C740A7" w:rsidRPr="00FF49F4" w:rsidRDefault="00C740A7" w:rsidP="006B79EC">
            <w:pPr>
              <w:rPr>
                <w:b/>
                <w:szCs w:val="18"/>
              </w:rPr>
            </w:pPr>
            <w:r w:rsidRPr="00FF49F4">
              <w:rPr>
                <w:b/>
                <w:szCs w:val="18"/>
              </w:rPr>
              <w:t>High risk</w:t>
            </w:r>
          </w:p>
        </w:tc>
        <w:tc>
          <w:tcPr>
            <w:tcW w:w="3160" w:type="dxa"/>
            <w:shd w:val="clear" w:color="auto" w:fill="auto"/>
          </w:tcPr>
          <w:p w:rsidR="00C740A7" w:rsidRPr="00FF49F4" w:rsidRDefault="00C740A7" w:rsidP="006B79EC">
            <w:pPr>
              <w:rPr>
                <w:b/>
                <w:szCs w:val="18"/>
              </w:rPr>
            </w:pPr>
          </w:p>
        </w:tc>
      </w:tr>
    </w:tbl>
    <w:p w:rsidR="006B79EC" w:rsidRPr="00FF49F4" w:rsidRDefault="006B79EC" w:rsidP="006B79EC">
      <w:pPr>
        <w:rPr>
          <w:b/>
          <w:szCs w:val="18"/>
        </w:rPr>
      </w:pPr>
    </w:p>
    <w:p w:rsidR="001439B1" w:rsidRPr="00FF49F4" w:rsidRDefault="001439B1" w:rsidP="006B79EC">
      <w:pPr>
        <w:ind w:left="720"/>
        <w:rPr>
          <w:b/>
          <w:szCs w:val="18"/>
        </w:rPr>
      </w:pPr>
    </w:p>
    <w:p w:rsidR="0033544D" w:rsidRPr="00FF49F4" w:rsidRDefault="0033544D" w:rsidP="00041463">
      <w:pPr>
        <w:rPr>
          <w:b/>
          <w:szCs w:val="18"/>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1310"/>
        <w:gridCol w:w="5890"/>
      </w:tblGrid>
      <w:tr w:rsidR="00E9539E" w:rsidRPr="00FF49F4" w:rsidTr="0037549E">
        <w:tc>
          <w:tcPr>
            <w:tcW w:w="13878" w:type="dxa"/>
            <w:gridSpan w:val="3"/>
            <w:shd w:val="clear" w:color="auto" w:fill="EEECE1"/>
          </w:tcPr>
          <w:p w:rsidR="00E9539E" w:rsidRPr="00FF49F4" w:rsidRDefault="00FF49F4" w:rsidP="00041463">
            <w:pPr>
              <w:rPr>
                <w:b/>
                <w:szCs w:val="18"/>
              </w:rPr>
            </w:pPr>
            <w:r w:rsidRPr="00FF49F4">
              <w:rPr>
                <w:b/>
                <w:szCs w:val="18"/>
              </w:rPr>
              <w:t>2</w:t>
            </w:r>
            <w:r w:rsidR="00E9539E" w:rsidRPr="00FF49F4">
              <w:rPr>
                <w:b/>
                <w:szCs w:val="18"/>
              </w:rPr>
              <w:t xml:space="preserve">. </w:t>
            </w:r>
            <w:r w:rsidR="00405B93" w:rsidRPr="00FF49F4">
              <w:rPr>
                <w:b/>
                <w:szCs w:val="18"/>
              </w:rPr>
              <w:t xml:space="preserve">Example of Drug </w:t>
            </w:r>
            <w:r w:rsidR="00E9539E" w:rsidRPr="00FF49F4">
              <w:rPr>
                <w:b/>
                <w:szCs w:val="18"/>
              </w:rPr>
              <w:t>Comparison</w:t>
            </w:r>
          </w:p>
        </w:tc>
      </w:tr>
      <w:tr w:rsidR="0033544D" w:rsidRPr="00FF49F4" w:rsidTr="0037549E">
        <w:tc>
          <w:tcPr>
            <w:tcW w:w="6678" w:type="dxa"/>
            <w:shd w:val="clear" w:color="auto" w:fill="auto"/>
            <w:vAlign w:val="center"/>
          </w:tcPr>
          <w:p w:rsidR="0033544D" w:rsidRPr="00FF49F4" w:rsidRDefault="009663F0" w:rsidP="003E6A83">
            <w:pPr>
              <w:pStyle w:val="NormalWeb"/>
              <w:spacing w:before="0" w:beforeAutospacing="0" w:after="0" w:afterAutospacing="0"/>
              <w:rPr>
                <w:rFonts w:ascii="Segoe UI" w:hAnsi="Segoe UI" w:cs="Segoe UI"/>
                <w:b/>
                <w:bCs/>
                <w:color w:val="000000"/>
                <w:sz w:val="20"/>
                <w:szCs w:val="18"/>
              </w:rPr>
            </w:pPr>
            <w:r w:rsidRPr="00FF49F4">
              <w:rPr>
                <w:rFonts w:ascii="Segoe UI" w:hAnsi="Segoe UI" w:cs="Segoe UI"/>
                <w:b/>
                <w:bCs/>
                <w:color w:val="000000"/>
                <w:sz w:val="20"/>
                <w:szCs w:val="18"/>
              </w:rPr>
              <w:t>Drug A Compared to Acyclovir For Genital Herpes Infection</w:t>
            </w:r>
          </w:p>
        </w:tc>
        <w:tc>
          <w:tcPr>
            <w:tcW w:w="1310" w:type="dxa"/>
            <w:shd w:val="clear" w:color="auto" w:fill="auto"/>
          </w:tcPr>
          <w:p w:rsidR="0033544D" w:rsidRPr="00FF49F4" w:rsidRDefault="006C1107" w:rsidP="007474E0">
            <w:pPr>
              <w:jc w:val="center"/>
              <w:rPr>
                <w:b/>
                <w:szCs w:val="18"/>
              </w:rPr>
            </w:pPr>
            <w:r w:rsidRPr="00FF49F4">
              <w:rPr>
                <w:b/>
                <w:szCs w:val="18"/>
              </w:rPr>
              <w:t>Rating</w:t>
            </w:r>
          </w:p>
        </w:tc>
        <w:tc>
          <w:tcPr>
            <w:tcW w:w="5890" w:type="dxa"/>
            <w:shd w:val="clear" w:color="auto" w:fill="auto"/>
          </w:tcPr>
          <w:p w:rsidR="0033544D" w:rsidRPr="00FF49F4" w:rsidRDefault="006C1107" w:rsidP="00041463">
            <w:pPr>
              <w:rPr>
                <w:b/>
                <w:szCs w:val="18"/>
              </w:rPr>
            </w:pPr>
            <w:r w:rsidRPr="00FF49F4">
              <w:rPr>
                <w:b/>
                <w:szCs w:val="18"/>
              </w:rPr>
              <w:t>Comments</w:t>
            </w:r>
          </w:p>
        </w:tc>
      </w:tr>
      <w:tr w:rsidR="0033544D" w:rsidRPr="00FF49F4" w:rsidTr="0037549E">
        <w:tc>
          <w:tcPr>
            <w:tcW w:w="6678" w:type="dxa"/>
            <w:shd w:val="clear" w:color="auto" w:fill="auto"/>
            <w:vAlign w:val="center"/>
          </w:tcPr>
          <w:p w:rsidR="0033544D" w:rsidRPr="00FF49F4" w:rsidRDefault="0033544D">
            <w:pPr>
              <w:pStyle w:val="NormalWeb"/>
              <w:spacing w:before="0" w:beforeAutospacing="0" w:after="0" w:afterAutospacing="0"/>
              <w:rPr>
                <w:rFonts w:ascii="Segoe UI" w:hAnsi="Segoe UI" w:cs="Segoe UI"/>
                <w:bCs/>
                <w:color w:val="000000"/>
                <w:sz w:val="20"/>
                <w:szCs w:val="18"/>
              </w:rPr>
            </w:pPr>
            <w:r w:rsidRPr="00FF49F4">
              <w:rPr>
                <w:rFonts w:ascii="Segoe UI" w:hAnsi="Segoe UI" w:cs="Segoe UI"/>
                <w:bCs/>
                <w:color w:val="000000"/>
                <w:sz w:val="20"/>
                <w:szCs w:val="18"/>
              </w:rPr>
              <w:t>Evidence for efficacy (outcome)</w:t>
            </w:r>
          </w:p>
        </w:tc>
        <w:tc>
          <w:tcPr>
            <w:tcW w:w="1310" w:type="dxa"/>
            <w:shd w:val="clear" w:color="auto" w:fill="FFFF00"/>
          </w:tcPr>
          <w:p w:rsidR="0033544D" w:rsidRPr="00FF49F4" w:rsidRDefault="009663F0" w:rsidP="007474E0">
            <w:pPr>
              <w:jc w:val="center"/>
              <w:rPr>
                <w:szCs w:val="18"/>
              </w:rPr>
            </w:pPr>
            <w:r w:rsidRPr="00FF49F4">
              <w:rPr>
                <w:szCs w:val="18"/>
              </w:rPr>
              <w:t>Moderate</w:t>
            </w:r>
          </w:p>
        </w:tc>
        <w:tc>
          <w:tcPr>
            <w:tcW w:w="5890" w:type="dxa"/>
            <w:shd w:val="clear" w:color="auto" w:fill="auto"/>
          </w:tcPr>
          <w:p w:rsidR="0033544D" w:rsidRPr="00FF49F4" w:rsidRDefault="007474E0" w:rsidP="00041463">
            <w:pPr>
              <w:rPr>
                <w:szCs w:val="18"/>
              </w:rPr>
            </w:pPr>
            <w:r w:rsidRPr="00FF49F4">
              <w:rPr>
                <w:szCs w:val="18"/>
              </w:rPr>
              <w:t>2 equivalence trials</w:t>
            </w:r>
            <w:r w:rsidR="000B4DD6" w:rsidRPr="00FF49F4">
              <w:rPr>
                <w:szCs w:val="18"/>
              </w:rPr>
              <w:t xml:space="preserve"> comparing to a</w:t>
            </w:r>
            <w:r w:rsidR="006C1107" w:rsidRPr="00FF49F4">
              <w:rPr>
                <w:szCs w:val="18"/>
              </w:rPr>
              <w:t>cyclovir</w:t>
            </w:r>
          </w:p>
        </w:tc>
      </w:tr>
      <w:tr w:rsidR="0033544D" w:rsidRPr="00FF49F4" w:rsidTr="0037549E">
        <w:tc>
          <w:tcPr>
            <w:tcW w:w="6678" w:type="dxa"/>
            <w:shd w:val="clear" w:color="auto" w:fill="auto"/>
            <w:vAlign w:val="center"/>
          </w:tcPr>
          <w:p w:rsidR="0033544D" w:rsidRPr="00FF49F4" w:rsidRDefault="0033544D">
            <w:pPr>
              <w:pStyle w:val="NormalWeb"/>
              <w:spacing w:before="0" w:beforeAutospacing="0" w:after="0" w:afterAutospacing="0"/>
              <w:rPr>
                <w:rFonts w:ascii="Segoe UI" w:hAnsi="Segoe UI" w:cs="Segoe UI"/>
                <w:bCs/>
                <w:color w:val="000000"/>
                <w:sz w:val="20"/>
                <w:szCs w:val="18"/>
              </w:rPr>
            </w:pPr>
            <w:r w:rsidRPr="00FF49F4">
              <w:rPr>
                <w:rFonts w:ascii="Segoe UI" w:hAnsi="Segoe UI" w:cs="Segoe UI"/>
                <w:bCs/>
                <w:color w:val="000000"/>
                <w:sz w:val="20"/>
                <w:szCs w:val="18"/>
              </w:rPr>
              <w:t>Size of outcomes</w:t>
            </w:r>
          </w:p>
        </w:tc>
        <w:tc>
          <w:tcPr>
            <w:tcW w:w="1310" w:type="dxa"/>
            <w:shd w:val="clear" w:color="auto" w:fill="92D050"/>
          </w:tcPr>
          <w:p w:rsidR="0033544D" w:rsidRPr="00FF49F4" w:rsidRDefault="007474E0" w:rsidP="007474E0">
            <w:pPr>
              <w:jc w:val="center"/>
              <w:rPr>
                <w:szCs w:val="18"/>
              </w:rPr>
            </w:pPr>
            <w:r w:rsidRPr="00FF49F4">
              <w:rPr>
                <w:szCs w:val="18"/>
              </w:rPr>
              <w:t>Similar</w:t>
            </w:r>
          </w:p>
        </w:tc>
        <w:tc>
          <w:tcPr>
            <w:tcW w:w="5890" w:type="dxa"/>
            <w:shd w:val="clear" w:color="auto" w:fill="auto"/>
          </w:tcPr>
          <w:p w:rsidR="0033544D" w:rsidRPr="00FF49F4" w:rsidRDefault="007474E0" w:rsidP="00041463">
            <w:pPr>
              <w:rPr>
                <w:szCs w:val="18"/>
              </w:rPr>
            </w:pPr>
            <w:r w:rsidRPr="00FF49F4">
              <w:rPr>
                <w:szCs w:val="18"/>
              </w:rPr>
              <w:t>Difference in healing (days):  &lt;1 day</w:t>
            </w:r>
          </w:p>
        </w:tc>
      </w:tr>
      <w:tr w:rsidR="0033544D" w:rsidRPr="00FF49F4" w:rsidTr="00431229">
        <w:tc>
          <w:tcPr>
            <w:tcW w:w="6678" w:type="dxa"/>
            <w:shd w:val="clear" w:color="auto" w:fill="auto"/>
            <w:vAlign w:val="center"/>
          </w:tcPr>
          <w:p w:rsidR="0033544D" w:rsidRPr="00FF49F4" w:rsidRDefault="0033544D">
            <w:pPr>
              <w:pStyle w:val="NormalWeb"/>
              <w:spacing w:before="0" w:beforeAutospacing="0" w:after="0" w:afterAutospacing="0"/>
              <w:rPr>
                <w:rFonts w:ascii="Segoe UI" w:hAnsi="Segoe UI" w:cs="Segoe UI"/>
                <w:bCs/>
                <w:color w:val="000000"/>
                <w:sz w:val="20"/>
                <w:szCs w:val="18"/>
              </w:rPr>
            </w:pPr>
            <w:r w:rsidRPr="00FF49F4">
              <w:rPr>
                <w:rFonts w:ascii="Segoe UI" w:hAnsi="Segoe UI" w:cs="Segoe UI"/>
                <w:bCs/>
                <w:color w:val="000000"/>
                <w:sz w:val="20"/>
                <w:szCs w:val="18"/>
              </w:rPr>
              <w:t>Evidence for safety (outcomes)</w:t>
            </w:r>
          </w:p>
        </w:tc>
        <w:tc>
          <w:tcPr>
            <w:tcW w:w="1310" w:type="dxa"/>
            <w:shd w:val="clear" w:color="auto" w:fill="FABF8F" w:themeFill="accent6" w:themeFillTint="99"/>
          </w:tcPr>
          <w:p w:rsidR="0033544D" w:rsidRPr="00FF49F4" w:rsidRDefault="007474E0" w:rsidP="007474E0">
            <w:pPr>
              <w:jc w:val="center"/>
              <w:rPr>
                <w:szCs w:val="18"/>
              </w:rPr>
            </w:pPr>
            <w:r w:rsidRPr="00FF49F4">
              <w:rPr>
                <w:szCs w:val="18"/>
              </w:rPr>
              <w:t>Low</w:t>
            </w:r>
          </w:p>
        </w:tc>
        <w:tc>
          <w:tcPr>
            <w:tcW w:w="5890" w:type="dxa"/>
            <w:shd w:val="clear" w:color="auto" w:fill="auto"/>
          </w:tcPr>
          <w:p w:rsidR="0033544D" w:rsidRPr="00FF49F4" w:rsidRDefault="007474E0" w:rsidP="00041463">
            <w:pPr>
              <w:rPr>
                <w:szCs w:val="18"/>
              </w:rPr>
            </w:pPr>
            <w:r w:rsidRPr="00FF49F4">
              <w:rPr>
                <w:szCs w:val="18"/>
              </w:rPr>
              <w:t>Longer track record for Acyclovir</w:t>
            </w:r>
          </w:p>
        </w:tc>
      </w:tr>
      <w:tr w:rsidR="0033544D" w:rsidRPr="00FF49F4" w:rsidTr="0037549E">
        <w:tc>
          <w:tcPr>
            <w:tcW w:w="6678" w:type="dxa"/>
            <w:shd w:val="clear" w:color="auto" w:fill="auto"/>
            <w:vAlign w:val="center"/>
          </w:tcPr>
          <w:p w:rsidR="0033544D" w:rsidRPr="00FF49F4" w:rsidRDefault="0033544D">
            <w:pPr>
              <w:pStyle w:val="NormalWeb"/>
              <w:spacing w:before="0" w:beforeAutospacing="0" w:after="0" w:afterAutospacing="0"/>
              <w:rPr>
                <w:rFonts w:ascii="Segoe UI" w:hAnsi="Segoe UI" w:cs="Segoe UI"/>
                <w:bCs/>
                <w:color w:val="000000"/>
                <w:sz w:val="20"/>
                <w:szCs w:val="18"/>
              </w:rPr>
            </w:pPr>
            <w:r w:rsidRPr="00FF49F4">
              <w:rPr>
                <w:rFonts w:ascii="Segoe UI" w:hAnsi="Segoe UI" w:cs="Segoe UI"/>
                <w:bCs/>
                <w:color w:val="000000"/>
                <w:sz w:val="20"/>
                <w:szCs w:val="18"/>
              </w:rPr>
              <w:t>Alternatives are [available  / not available]</w:t>
            </w:r>
          </w:p>
        </w:tc>
        <w:tc>
          <w:tcPr>
            <w:tcW w:w="1310" w:type="dxa"/>
            <w:shd w:val="clear" w:color="auto" w:fill="FFFF00"/>
          </w:tcPr>
          <w:p w:rsidR="0033544D" w:rsidRPr="00FF49F4" w:rsidRDefault="006C1107" w:rsidP="007474E0">
            <w:pPr>
              <w:jc w:val="center"/>
              <w:rPr>
                <w:szCs w:val="18"/>
              </w:rPr>
            </w:pPr>
            <w:r w:rsidRPr="00FF49F4">
              <w:rPr>
                <w:szCs w:val="18"/>
              </w:rPr>
              <w:t>Yes</w:t>
            </w:r>
          </w:p>
        </w:tc>
        <w:tc>
          <w:tcPr>
            <w:tcW w:w="5890" w:type="dxa"/>
            <w:shd w:val="clear" w:color="auto" w:fill="auto"/>
          </w:tcPr>
          <w:p w:rsidR="0033544D" w:rsidRPr="00FF49F4" w:rsidRDefault="006C1107" w:rsidP="006C1107">
            <w:pPr>
              <w:tabs>
                <w:tab w:val="left" w:pos="1050"/>
              </w:tabs>
              <w:rPr>
                <w:szCs w:val="18"/>
              </w:rPr>
            </w:pPr>
            <w:r w:rsidRPr="00FF49F4">
              <w:rPr>
                <w:szCs w:val="18"/>
              </w:rPr>
              <w:t>2 other agents available</w:t>
            </w:r>
          </w:p>
        </w:tc>
      </w:tr>
      <w:tr w:rsidR="0033544D" w:rsidRPr="00FF49F4" w:rsidTr="0037549E">
        <w:tc>
          <w:tcPr>
            <w:tcW w:w="6678" w:type="dxa"/>
            <w:shd w:val="clear" w:color="auto" w:fill="auto"/>
            <w:vAlign w:val="center"/>
          </w:tcPr>
          <w:p w:rsidR="0033544D" w:rsidRPr="00FF49F4" w:rsidRDefault="0033544D">
            <w:pPr>
              <w:pStyle w:val="NormalWeb"/>
              <w:spacing w:before="0" w:beforeAutospacing="0" w:after="0" w:afterAutospacing="0"/>
              <w:rPr>
                <w:rFonts w:ascii="Segoe UI" w:hAnsi="Segoe UI" w:cs="Segoe UI"/>
                <w:bCs/>
                <w:color w:val="000000"/>
                <w:sz w:val="20"/>
                <w:szCs w:val="18"/>
              </w:rPr>
            </w:pPr>
            <w:r w:rsidRPr="00FF49F4">
              <w:rPr>
                <w:rFonts w:ascii="Segoe UI" w:hAnsi="Segoe UI" w:cs="Segoe UI"/>
                <w:bCs/>
                <w:color w:val="000000"/>
                <w:sz w:val="20"/>
                <w:szCs w:val="18"/>
              </w:rPr>
              <w:t>LOE for alternatives  (outcome)</w:t>
            </w:r>
          </w:p>
        </w:tc>
        <w:tc>
          <w:tcPr>
            <w:tcW w:w="1310" w:type="dxa"/>
            <w:shd w:val="clear" w:color="auto" w:fill="FFFF00"/>
          </w:tcPr>
          <w:p w:rsidR="0033544D" w:rsidRPr="00FF49F4" w:rsidRDefault="006C1107" w:rsidP="007474E0">
            <w:pPr>
              <w:jc w:val="center"/>
              <w:rPr>
                <w:szCs w:val="18"/>
              </w:rPr>
            </w:pPr>
            <w:r w:rsidRPr="00FF49F4">
              <w:rPr>
                <w:szCs w:val="18"/>
              </w:rPr>
              <w:t>Moderate</w:t>
            </w:r>
          </w:p>
        </w:tc>
        <w:tc>
          <w:tcPr>
            <w:tcW w:w="5890" w:type="dxa"/>
            <w:shd w:val="clear" w:color="auto" w:fill="auto"/>
          </w:tcPr>
          <w:p w:rsidR="0033544D" w:rsidRPr="00FF49F4" w:rsidRDefault="0033544D" w:rsidP="00041463">
            <w:pPr>
              <w:rPr>
                <w:szCs w:val="18"/>
              </w:rPr>
            </w:pPr>
          </w:p>
        </w:tc>
      </w:tr>
      <w:tr w:rsidR="0033544D" w:rsidRPr="00FF49F4" w:rsidTr="0037549E">
        <w:tc>
          <w:tcPr>
            <w:tcW w:w="6678" w:type="dxa"/>
            <w:shd w:val="clear" w:color="auto" w:fill="auto"/>
            <w:vAlign w:val="center"/>
          </w:tcPr>
          <w:p w:rsidR="0033544D" w:rsidRPr="00FF49F4" w:rsidRDefault="0033544D">
            <w:pPr>
              <w:pStyle w:val="NormalWeb"/>
              <w:spacing w:before="0" w:beforeAutospacing="0" w:after="0" w:afterAutospacing="0"/>
              <w:rPr>
                <w:rFonts w:ascii="Segoe UI" w:hAnsi="Segoe UI" w:cs="Segoe UI"/>
                <w:bCs/>
                <w:color w:val="000000"/>
                <w:sz w:val="20"/>
                <w:szCs w:val="18"/>
              </w:rPr>
            </w:pPr>
            <w:r w:rsidRPr="00FF49F4">
              <w:rPr>
                <w:rFonts w:ascii="Segoe UI" w:hAnsi="Segoe UI" w:cs="Segoe UI"/>
                <w:bCs/>
                <w:color w:val="000000"/>
                <w:sz w:val="20"/>
                <w:szCs w:val="18"/>
              </w:rPr>
              <w:t xml:space="preserve">Weighting of other  considerations  </w:t>
            </w:r>
          </w:p>
          <w:p w:rsidR="0033544D" w:rsidRPr="00FF49F4" w:rsidRDefault="0033544D">
            <w:pPr>
              <w:pStyle w:val="NormalWeb"/>
              <w:spacing w:before="0" w:beforeAutospacing="0" w:after="0" w:afterAutospacing="0"/>
              <w:rPr>
                <w:rFonts w:ascii="Segoe UI" w:hAnsi="Segoe UI" w:cs="Segoe UI"/>
                <w:bCs/>
                <w:color w:val="000000"/>
                <w:sz w:val="20"/>
                <w:szCs w:val="18"/>
              </w:rPr>
            </w:pPr>
            <w:r w:rsidRPr="00FF49F4">
              <w:rPr>
                <w:rFonts w:ascii="Segoe UI" w:hAnsi="Segoe UI" w:cs="Segoe UI"/>
                <w:bCs/>
                <w:color w:val="000000"/>
                <w:sz w:val="20"/>
                <w:szCs w:val="18"/>
              </w:rPr>
              <w:t>(e.g., tolerability, ease of use, dependency or abuse potential, unmet needs, special populations, clinician perspective)</w:t>
            </w:r>
          </w:p>
        </w:tc>
        <w:tc>
          <w:tcPr>
            <w:tcW w:w="1310" w:type="dxa"/>
            <w:shd w:val="clear" w:color="auto" w:fill="FFFF00"/>
          </w:tcPr>
          <w:p w:rsidR="0033544D" w:rsidRPr="00FF49F4" w:rsidRDefault="006C1107" w:rsidP="007474E0">
            <w:pPr>
              <w:jc w:val="center"/>
              <w:rPr>
                <w:szCs w:val="18"/>
              </w:rPr>
            </w:pPr>
            <w:r w:rsidRPr="00FF49F4">
              <w:rPr>
                <w:szCs w:val="18"/>
              </w:rPr>
              <w:t>Moderate</w:t>
            </w:r>
          </w:p>
        </w:tc>
        <w:tc>
          <w:tcPr>
            <w:tcW w:w="5890" w:type="dxa"/>
            <w:shd w:val="clear" w:color="auto" w:fill="auto"/>
          </w:tcPr>
          <w:p w:rsidR="0033544D" w:rsidRPr="00FF49F4" w:rsidRDefault="006C1107" w:rsidP="00041463">
            <w:pPr>
              <w:rPr>
                <w:szCs w:val="18"/>
              </w:rPr>
            </w:pPr>
            <w:r w:rsidRPr="00FF49F4">
              <w:rPr>
                <w:szCs w:val="18"/>
              </w:rPr>
              <w:t>Dosing is</w:t>
            </w:r>
            <w:r w:rsidR="000B4DD6" w:rsidRPr="00FF49F4">
              <w:rPr>
                <w:szCs w:val="18"/>
              </w:rPr>
              <w:t xml:space="preserve"> BID versus 5 times daily with a</w:t>
            </w:r>
            <w:r w:rsidRPr="00FF49F4">
              <w:rPr>
                <w:szCs w:val="18"/>
              </w:rPr>
              <w:t>cyclovir</w:t>
            </w:r>
          </w:p>
        </w:tc>
      </w:tr>
      <w:tr w:rsidR="0033544D" w:rsidRPr="00FF49F4" w:rsidTr="0037549E">
        <w:tc>
          <w:tcPr>
            <w:tcW w:w="6678" w:type="dxa"/>
            <w:shd w:val="clear" w:color="auto" w:fill="auto"/>
            <w:vAlign w:val="center"/>
          </w:tcPr>
          <w:p w:rsidR="0033544D" w:rsidRPr="00FF49F4" w:rsidRDefault="0033544D">
            <w:pPr>
              <w:pStyle w:val="NormalWeb"/>
              <w:spacing w:before="0" w:beforeAutospacing="0" w:after="0" w:afterAutospacing="0"/>
              <w:rPr>
                <w:rFonts w:ascii="Segoe UI" w:hAnsi="Segoe UI" w:cs="Segoe UI"/>
                <w:bCs/>
                <w:color w:val="000000"/>
                <w:sz w:val="20"/>
                <w:szCs w:val="18"/>
              </w:rPr>
            </w:pPr>
            <w:r w:rsidRPr="00FF49F4">
              <w:rPr>
                <w:rFonts w:ascii="Segoe UI" w:hAnsi="Segoe UI" w:cs="Segoe UI"/>
                <w:bCs/>
                <w:color w:val="000000"/>
                <w:sz w:val="20"/>
                <w:szCs w:val="18"/>
              </w:rPr>
              <w:t>Comparative Cost</w:t>
            </w:r>
          </w:p>
        </w:tc>
        <w:tc>
          <w:tcPr>
            <w:tcW w:w="1310" w:type="dxa"/>
            <w:shd w:val="clear" w:color="auto" w:fill="FFFF00"/>
          </w:tcPr>
          <w:p w:rsidR="0033544D" w:rsidRPr="00FF49F4" w:rsidRDefault="000B4DD6" w:rsidP="007474E0">
            <w:pPr>
              <w:jc w:val="center"/>
              <w:rPr>
                <w:szCs w:val="18"/>
              </w:rPr>
            </w:pPr>
            <w:r w:rsidRPr="00FF49F4">
              <w:rPr>
                <w:szCs w:val="18"/>
              </w:rPr>
              <w:t>Similar</w:t>
            </w:r>
          </w:p>
        </w:tc>
        <w:tc>
          <w:tcPr>
            <w:tcW w:w="5890" w:type="dxa"/>
            <w:shd w:val="clear" w:color="auto" w:fill="auto"/>
          </w:tcPr>
          <w:p w:rsidR="0033544D" w:rsidRPr="00FF49F4" w:rsidRDefault="0033544D" w:rsidP="00041463">
            <w:pPr>
              <w:rPr>
                <w:szCs w:val="18"/>
              </w:rPr>
            </w:pPr>
          </w:p>
        </w:tc>
      </w:tr>
      <w:tr w:rsidR="0033544D" w:rsidRPr="00FF49F4" w:rsidTr="0037549E">
        <w:tc>
          <w:tcPr>
            <w:tcW w:w="6678" w:type="dxa"/>
            <w:shd w:val="clear" w:color="auto" w:fill="auto"/>
            <w:vAlign w:val="center"/>
          </w:tcPr>
          <w:p w:rsidR="0033544D" w:rsidRPr="00FF49F4" w:rsidRDefault="0033544D">
            <w:pPr>
              <w:pStyle w:val="NormalWeb"/>
              <w:spacing w:before="0" w:beforeAutospacing="0" w:after="0" w:afterAutospacing="0"/>
              <w:rPr>
                <w:rFonts w:ascii="Segoe UI" w:hAnsi="Segoe UI" w:cs="Segoe UI"/>
                <w:bCs/>
                <w:color w:val="000000"/>
                <w:sz w:val="20"/>
                <w:szCs w:val="18"/>
              </w:rPr>
            </w:pPr>
            <w:r w:rsidRPr="00FF49F4">
              <w:rPr>
                <w:rFonts w:ascii="Segoe UI" w:hAnsi="Segoe UI" w:cs="Segoe UI"/>
                <w:bCs/>
                <w:color w:val="000000"/>
                <w:sz w:val="20"/>
                <w:szCs w:val="18"/>
              </w:rPr>
              <w:t xml:space="preserve">Cost for QALYS: </w:t>
            </w:r>
          </w:p>
        </w:tc>
        <w:tc>
          <w:tcPr>
            <w:tcW w:w="1310" w:type="dxa"/>
            <w:shd w:val="clear" w:color="auto" w:fill="auto"/>
          </w:tcPr>
          <w:p w:rsidR="0033544D" w:rsidRPr="00FF49F4" w:rsidRDefault="000B4DD6" w:rsidP="007474E0">
            <w:pPr>
              <w:jc w:val="center"/>
              <w:rPr>
                <w:szCs w:val="18"/>
              </w:rPr>
            </w:pPr>
            <w:r w:rsidRPr="00FF49F4">
              <w:rPr>
                <w:szCs w:val="18"/>
              </w:rPr>
              <w:t>N/A</w:t>
            </w:r>
          </w:p>
        </w:tc>
        <w:tc>
          <w:tcPr>
            <w:tcW w:w="5890" w:type="dxa"/>
            <w:shd w:val="clear" w:color="auto" w:fill="auto"/>
          </w:tcPr>
          <w:p w:rsidR="0033544D" w:rsidRPr="00FF49F4" w:rsidRDefault="0033544D" w:rsidP="00041463">
            <w:pPr>
              <w:rPr>
                <w:szCs w:val="18"/>
              </w:rPr>
            </w:pPr>
          </w:p>
        </w:tc>
      </w:tr>
      <w:tr w:rsidR="0033544D" w:rsidRPr="00FF49F4" w:rsidTr="0037549E">
        <w:tc>
          <w:tcPr>
            <w:tcW w:w="6678" w:type="dxa"/>
            <w:shd w:val="clear" w:color="auto" w:fill="auto"/>
            <w:vAlign w:val="center"/>
          </w:tcPr>
          <w:p w:rsidR="0033544D" w:rsidRPr="00FF49F4" w:rsidRDefault="0033544D" w:rsidP="00FF49F4">
            <w:pPr>
              <w:pStyle w:val="NormalWeb"/>
              <w:spacing w:before="0" w:beforeAutospacing="0" w:after="0" w:afterAutospacing="0"/>
              <w:rPr>
                <w:rFonts w:ascii="Segoe UI" w:hAnsi="Segoe UI" w:cs="Segoe UI"/>
                <w:bCs/>
                <w:color w:val="000000"/>
                <w:sz w:val="20"/>
                <w:szCs w:val="18"/>
              </w:rPr>
            </w:pPr>
            <w:r w:rsidRPr="00FF49F4">
              <w:rPr>
                <w:rFonts w:ascii="Segoe UI" w:hAnsi="Segoe UI" w:cs="Segoe UI"/>
                <w:bCs/>
                <w:color w:val="000000"/>
                <w:sz w:val="20"/>
                <w:szCs w:val="18"/>
              </w:rPr>
              <w:t>Other evident</w:t>
            </w:r>
            <w:r w:rsidR="00FF49F4" w:rsidRPr="00FF49F4">
              <w:rPr>
                <w:rFonts w:ascii="Segoe UI" w:hAnsi="Segoe UI" w:cs="Segoe UI"/>
                <w:bCs/>
                <w:color w:val="000000"/>
                <w:sz w:val="20"/>
                <w:szCs w:val="18"/>
              </w:rPr>
              <w:t>i</w:t>
            </w:r>
            <w:r w:rsidRPr="00FF49F4">
              <w:rPr>
                <w:rFonts w:ascii="Segoe UI" w:hAnsi="Segoe UI" w:cs="Segoe UI"/>
                <w:bCs/>
                <w:color w:val="000000"/>
                <w:sz w:val="20"/>
                <w:szCs w:val="18"/>
              </w:rPr>
              <w:t>ary considerations</w:t>
            </w:r>
          </w:p>
        </w:tc>
        <w:tc>
          <w:tcPr>
            <w:tcW w:w="1310" w:type="dxa"/>
            <w:shd w:val="clear" w:color="auto" w:fill="auto"/>
          </w:tcPr>
          <w:p w:rsidR="0033544D" w:rsidRPr="00FF49F4" w:rsidRDefault="000B4DD6" w:rsidP="007474E0">
            <w:pPr>
              <w:jc w:val="center"/>
              <w:rPr>
                <w:szCs w:val="18"/>
              </w:rPr>
            </w:pPr>
            <w:r w:rsidRPr="00FF49F4">
              <w:rPr>
                <w:szCs w:val="18"/>
              </w:rPr>
              <w:t>N/A</w:t>
            </w:r>
          </w:p>
        </w:tc>
        <w:tc>
          <w:tcPr>
            <w:tcW w:w="5890" w:type="dxa"/>
            <w:shd w:val="clear" w:color="auto" w:fill="auto"/>
          </w:tcPr>
          <w:p w:rsidR="0033544D" w:rsidRPr="00FF49F4" w:rsidRDefault="0033544D" w:rsidP="00041463">
            <w:pPr>
              <w:rPr>
                <w:szCs w:val="18"/>
              </w:rPr>
            </w:pPr>
          </w:p>
        </w:tc>
      </w:tr>
    </w:tbl>
    <w:p w:rsidR="003C7827" w:rsidRPr="0064726A" w:rsidRDefault="003C7827" w:rsidP="00041463">
      <w:pPr>
        <w:rPr>
          <w:b/>
          <w:sz w:val="18"/>
          <w:szCs w:val="18"/>
        </w:rPr>
      </w:pPr>
    </w:p>
    <w:p w:rsidR="0037549E" w:rsidRDefault="0037549E" w:rsidP="00041463">
      <w:pPr>
        <w:rPr>
          <w:b/>
          <w:sz w:val="18"/>
          <w:szCs w:val="18"/>
        </w:rPr>
      </w:pPr>
      <w:r>
        <w:rPr>
          <w:b/>
          <w:sz w:val="18"/>
          <w:szCs w:val="18"/>
        </w:rPr>
        <w:br w:type="page"/>
      </w:r>
    </w:p>
    <w:p w:rsidR="00674FB1" w:rsidRPr="0064726A" w:rsidRDefault="00674FB1" w:rsidP="00041463">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3896"/>
      </w:tblGrid>
      <w:tr w:rsidR="001E760B" w:rsidRPr="00FF49F4" w:rsidTr="00FF49F4">
        <w:tc>
          <w:tcPr>
            <w:tcW w:w="13896" w:type="dxa"/>
            <w:shd w:val="clear" w:color="auto" w:fill="EEECE1"/>
          </w:tcPr>
          <w:p w:rsidR="001E760B" w:rsidRPr="00FF49F4" w:rsidRDefault="001A7C2E" w:rsidP="004615DC">
            <w:pPr>
              <w:outlineLvl w:val="0"/>
              <w:rPr>
                <w:b/>
                <w:szCs w:val="18"/>
              </w:rPr>
            </w:pPr>
            <w:r w:rsidRPr="00FF49F4">
              <w:rPr>
                <w:b/>
                <w:szCs w:val="18"/>
              </w:rPr>
              <w:t>3. Example Of Drug Comparison: Summary Of Compar</w:t>
            </w:r>
            <w:r>
              <w:rPr>
                <w:b/>
                <w:szCs w:val="18"/>
              </w:rPr>
              <w:t xml:space="preserve">ative Safety Drugs </w:t>
            </w:r>
            <w:r w:rsidR="004615DC">
              <w:rPr>
                <w:b/>
                <w:szCs w:val="18"/>
              </w:rPr>
              <w:t>V, W, X, Y, Z</w:t>
            </w:r>
          </w:p>
        </w:tc>
      </w:tr>
    </w:tbl>
    <w:p w:rsidR="00674FB1" w:rsidRDefault="00674FB1" w:rsidP="00674FB1">
      <w:pPr>
        <w:rPr>
          <w:b/>
          <w:szCs w:val="18"/>
        </w:rPr>
      </w:pPr>
    </w:p>
    <w:p w:rsidR="00674FB1" w:rsidRPr="00FF49F4" w:rsidRDefault="00FF49F4" w:rsidP="00674FB1">
      <w:pPr>
        <w:outlineLvl w:val="0"/>
        <w:rPr>
          <w:b/>
          <w:szCs w:val="18"/>
        </w:rPr>
      </w:pPr>
      <w:r w:rsidRPr="00FF49F4">
        <w:rPr>
          <w:b/>
          <w:szCs w:val="18"/>
        </w:rPr>
        <w:t>THE EVIDENCE IS SUGGESTIVE THAT…</w:t>
      </w:r>
    </w:p>
    <w:tbl>
      <w:tblPr>
        <w:tblW w:w="13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428"/>
        <w:gridCol w:w="1345"/>
        <w:gridCol w:w="1652"/>
        <w:gridCol w:w="1623"/>
      </w:tblGrid>
      <w:tr w:rsidR="00674FB1" w:rsidRPr="00FF49F4" w:rsidTr="00431229">
        <w:tc>
          <w:tcPr>
            <w:tcW w:w="4878" w:type="dxa"/>
            <w:shd w:val="clear" w:color="auto" w:fill="auto"/>
          </w:tcPr>
          <w:p w:rsidR="00674FB1" w:rsidRPr="00FF49F4" w:rsidRDefault="00674FB1" w:rsidP="00C36854">
            <w:pPr>
              <w:jc w:val="center"/>
              <w:rPr>
                <w:b/>
                <w:szCs w:val="18"/>
              </w:rPr>
            </w:pPr>
            <w:r w:rsidRPr="00FF49F4">
              <w:rPr>
                <w:b/>
                <w:szCs w:val="18"/>
              </w:rPr>
              <w:t>SAFETY ISSUE</w:t>
            </w:r>
          </w:p>
        </w:tc>
        <w:tc>
          <w:tcPr>
            <w:tcW w:w="4428" w:type="dxa"/>
            <w:shd w:val="clear" w:color="auto" w:fill="66FF33"/>
          </w:tcPr>
          <w:p w:rsidR="00674FB1" w:rsidRPr="00FF49F4" w:rsidRDefault="00674FB1" w:rsidP="00C36854">
            <w:pPr>
              <w:jc w:val="center"/>
              <w:rPr>
                <w:b/>
                <w:szCs w:val="18"/>
              </w:rPr>
            </w:pPr>
            <w:r w:rsidRPr="00FF49F4">
              <w:rPr>
                <w:b/>
                <w:szCs w:val="18"/>
              </w:rPr>
              <w:t>LOWER RISK</w:t>
            </w:r>
          </w:p>
        </w:tc>
        <w:tc>
          <w:tcPr>
            <w:tcW w:w="1345" w:type="dxa"/>
            <w:shd w:val="clear" w:color="auto" w:fill="auto"/>
          </w:tcPr>
          <w:p w:rsidR="00674FB1" w:rsidRPr="00FF49F4" w:rsidRDefault="00674FB1" w:rsidP="00C36854">
            <w:pPr>
              <w:jc w:val="center"/>
              <w:rPr>
                <w:b/>
                <w:szCs w:val="18"/>
              </w:rPr>
            </w:pPr>
            <w:r w:rsidRPr="00FF49F4">
              <w:rPr>
                <w:b/>
                <w:szCs w:val="18"/>
              </w:rPr>
              <w:t>DIRECTION</w:t>
            </w:r>
          </w:p>
        </w:tc>
        <w:tc>
          <w:tcPr>
            <w:tcW w:w="3275" w:type="dxa"/>
            <w:gridSpan w:val="2"/>
            <w:shd w:val="clear" w:color="auto" w:fill="FABF8F" w:themeFill="accent6" w:themeFillTint="99"/>
          </w:tcPr>
          <w:p w:rsidR="00674FB1" w:rsidRPr="00FF49F4" w:rsidRDefault="00674FB1" w:rsidP="00C36854">
            <w:pPr>
              <w:jc w:val="center"/>
              <w:rPr>
                <w:b/>
                <w:szCs w:val="18"/>
              </w:rPr>
            </w:pPr>
            <w:r w:rsidRPr="00FF49F4">
              <w:rPr>
                <w:b/>
                <w:szCs w:val="18"/>
              </w:rPr>
              <w:t>HIGHER RISK</w:t>
            </w:r>
          </w:p>
        </w:tc>
      </w:tr>
      <w:tr w:rsidR="00674FB1" w:rsidRPr="00FF49F4" w:rsidTr="00431229">
        <w:tc>
          <w:tcPr>
            <w:tcW w:w="4878" w:type="dxa"/>
            <w:shd w:val="clear" w:color="auto" w:fill="auto"/>
          </w:tcPr>
          <w:p w:rsidR="00674FB1" w:rsidRPr="00FF49F4" w:rsidRDefault="00674FB1" w:rsidP="00C36854">
            <w:pPr>
              <w:rPr>
                <w:szCs w:val="18"/>
              </w:rPr>
            </w:pPr>
            <w:r w:rsidRPr="00FF49F4">
              <w:rPr>
                <w:szCs w:val="18"/>
              </w:rPr>
              <w:t>Serious Infections In RA</w:t>
            </w:r>
          </w:p>
          <w:p w:rsidR="00674FB1" w:rsidRPr="00FF49F4" w:rsidRDefault="00674FB1" w:rsidP="00C36854">
            <w:pPr>
              <w:rPr>
                <w:szCs w:val="18"/>
              </w:rPr>
            </w:pPr>
          </w:p>
        </w:tc>
        <w:tc>
          <w:tcPr>
            <w:tcW w:w="4428" w:type="dxa"/>
            <w:shd w:val="clear" w:color="auto" w:fill="66FF33"/>
          </w:tcPr>
          <w:p w:rsidR="00B8678E" w:rsidRPr="00FF49F4" w:rsidRDefault="00B8678E" w:rsidP="00C36854">
            <w:pPr>
              <w:rPr>
                <w:szCs w:val="18"/>
              </w:rPr>
            </w:pPr>
            <w:r w:rsidRPr="00FF49F4">
              <w:rPr>
                <w:szCs w:val="18"/>
              </w:rPr>
              <w:t xml:space="preserve">Drugs </w:t>
            </w:r>
            <w:r w:rsidR="001A7C2E">
              <w:rPr>
                <w:szCs w:val="18"/>
              </w:rPr>
              <w:t>V, Y, Z</w:t>
            </w:r>
          </w:p>
          <w:p w:rsidR="00674FB1" w:rsidRPr="00FF49F4" w:rsidRDefault="00674FB1" w:rsidP="00C36854">
            <w:pPr>
              <w:rPr>
                <w:szCs w:val="18"/>
              </w:rPr>
            </w:pPr>
            <w:r w:rsidRPr="00FF49F4">
              <w:rPr>
                <w:szCs w:val="18"/>
              </w:rPr>
              <w:t>3 to 4 serious infections/100 patients treated for 6 to 12 months</w:t>
            </w:r>
          </w:p>
        </w:tc>
        <w:tc>
          <w:tcPr>
            <w:tcW w:w="1345" w:type="dxa"/>
            <w:shd w:val="clear" w:color="auto" w:fill="auto"/>
            <w:vAlign w:val="center"/>
          </w:tcPr>
          <w:p w:rsidR="00674FB1" w:rsidRPr="00FF49F4" w:rsidRDefault="00674FB1" w:rsidP="00C36854">
            <w:pPr>
              <w:jc w:val="center"/>
              <w:rPr>
                <w:b/>
                <w:sz w:val="36"/>
                <w:szCs w:val="18"/>
              </w:rPr>
            </w:pPr>
            <w:r w:rsidRPr="00FF49F4">
              <w:rPr>
                <w:b/>
                <w:sz w:val="36"/>
                <w:szCs w:val="18"/>
              </w:rPr>
              <w:t>&lt;</w:t>
            </w:r>
          </w:p>
        </w:tc>
        <w:tc>
          <w:tcPr>
            <w:tcW w:w="3275" w:type="dxa"/>
            <w:gridSpan w:val="2"/>
            <w:shd w:val="clear" w:color="auto" w:fill="FABF8F" w:themeFill="accent6" w:themeFillTint="99"/>
          </w:tcPr>
          <w:p w:rsidR="00674FB1" w:rsidRPr="00FF49F4" w:rsidRDefault="00B8678E" w:rsidP="00C36854">
            <w:pPr>
              <w:jc w:val="center"/>
              <w:rPr>
                <w:szCs w:val="18"/>
              </w:rPr>
            </w:pPr>
            <w:r w:rsidRPr="00FF49F4">
              <w:rPr>
                <w:szCs w:val="18"/>
              </w:rPr>
              <w:t xml:space="preserve">Drug </w:t>
            </w:r>
            <w:r w:rsidR="001A7C2E">
              <w:rPr>
                <w:szCs w:val="18"/>
              </w:rPr>
              <w:t>W</w:t>
            </w:r>
          </w:p>
          <w:p w:rsidR="00674FB1" w:rsidRPr="00FF49F4" w:rsidRDefault="00674FB1" w:rsidP="00C36854">
            <w:pPr>
              <w:rPr>
                <w:szCs w:val="18"/>
              </w:rPr>
            </w:pPr>
            <w:r w:rsidRPr="00FF49F4">
              <w:rPr>
                <w:szCs w:val="18"/>
              </w:rPr>
              <w:t>8.6 serious infections/100 patients treated for 6 months</w:t>
            </w:r>
          </w:p>
        </w:tc>
      </w:tr>
      <w:tr w:rsidR="00674FB1" w:rsidRPr="00FF49F4" w:rsidTr="00431229">
        <w:tc>
          <w:tcPr>
            <w:tcW w:w="4878" w:type="dxa"/>
            <w:shd w:val="clear" w:color="auto" w:fill="auto"/>
          </w:tcPr>
          <w:p w:rsidR="00674FB1" w:rsidRPr="00FF49F4" w:rsidRDefault="00674FB1" w:rsidP="00C36854">
            <w:pPr>
              <w:rPr>
                <w:szCs w:val="18"/>
              </w:rPr>
            </w:pPr>
            <w:r w:rsidRPr="00FF49F4">
              <w:rPr>
                <w:szCs w:val="18"/>
              </w:rPr>
              <w:t>Tuberculosis</w:t>
            </w:r>
          </w:p>
        </w:tc>
        <w:tc>
          <w:tcPr>
            <w:tcW w:w="4428" w:type="dxa"/>
            <w:shd w:val="clear" w:color="auto" w:fill="66FF33"/>
          </w:tcPr>
          <w:p w:rsidR="00674FB1" w:rsidRPr="00FF49F4" w:rsidRDefault="001A7C2E" w:rsidP="00C36854">
            <w:pPr>
              <w:rPr>
                <w:szCs w:val="18"/>
              </w:rPr>
            </w:pPr>
            <w:r>
              <w:rPr>
                <w:szCs w:val="18"/>
              </w:rPr>
              <w:t>Drug Y</w:t>
            </w:r>
          </w:p>
          <w:p w:rsidR="00674FB1" w:rsidRPr="00FF49F4" w:rsidRDefault="00674FB1" w:rsidP="00C36854">
            <w:pPr>
              <w:rPr>
                <w:szCs w:val="18"/>
              </w:rPr>
            </w:pPr>
            <w:r w:rsidRPr="00FF49F4">
              <w:rPr>
                <w:szCs w:val="18"/>
              </w:rPr>
              <w:t xml:space="preserve">0.4 TB cases/1000 </w:t>
            </w:r>
            <w:proofErr w:type="spellStart"/>
            <w:r w:rsidRPr="00FF49F4">
              <w:rPr>
                <w:szCs w:val="18"/>
              </w:rPr>
              <w:t>pt</w:t>
            </w:r>
            <w:proofErr w:type="spellEnd"/>
            <w:r w:rsidRPr="00FF49F4">
              <w:rPr>
                <w:szCs w:val="18"/>
              </w:rPr>
              <w:t>-years.</w:t>
            </w:r>
          </w:p>
        </w:tc>
        <w:tc>
          <w:tcPr>
            <w:tcW w:w="1345" w:type="dxa"/>
            <w:shd w:val="clear" w:color="auto" w:fill="auto"/>
            <w:vAlign w:val="center"/>
          </w:tcPr>
          <w:p w:rsidR="00674FB1" w:rsidRPr="00FF49F4" w:rsidRDefault="00674FB1" w:rsidP="00C36854">
            <w:pPr>
              <w:jc w:val="center"/>
              <w:rPr>
                <w:b/>
                <w:sz w:val="36"/>
                <w:szCs w:val="18"/>
              </w:rPr>
            </w:pPr>
            <w:r w:rsidRPr="00FF49F4">
              <w:rPr>
                <w:b/>
                <w:sz w:val="36"/>
                <w:szCs w:val="18"/>
              </w:rPr>
              <w:t>&lt;</w:t>
            </w:r>
          </w:p>
        </w:tc>
        <w:tc>
          <w:tcPr>
            <w:tcW w:w="3275" w:type="dxa"/>
            <w:gridSpan w:val="2"/>
            <w:shd w:val="clear" w:color="auto" w:fill="FABF8F" w:themeFill="accent6" w:themeFillTint="99"/>
          </w:tcPr>
          <w:p w:rsidR="00674FB1" w:rsidRPr="00FF49F4" w:rsidRDefault="00B8678E" w:rsidP="00C36854">
            <w:pPr>
              <w:rPr>
                <w:szCs w:val="18"/>
              </w:rPr>
            </w:pPr>
            <w:r w:rsidRPr="00FF49F4">
              <w:rPr>
                <w:szCs w:val="18"/>
              </w:rPr>
              <w:t xml:space="preserve">Drugs </w:t>
            </w:r>
            <w:r w:rsidR="001A7C2E">
              <w:rPr>
                <w:szCs w:val="18"/>
              </w:rPr>
              <w:t>V and Z</w:t>
            </w:r>
          </w:p>
        </w:tc>
      </w:tr>
      <w:tr w:rsidR="00674FB1" w:rsidRPr="00FF49F4" w:rsidTr="00431229">
        <w:tc>
          <w:tcPr>
            <w:tcW w:w="4878" w:type="dxa"/>
            <w:shd w:val="clear" w:color="auto" w:fill="auto"/>
          </w:tcPr>
          <w:p w:rsidR="00674FB1" w:rsidRPr="00FF49F4" w:rsidRDefault="00674FB1" w:rsidP="00C36854">
            <w:pPr>
              <w:rPr>
                <w:szCs w:val="18"/>
              </w:rPr>
            </w:pPr>
            <w:r w:rsidRPr="00FF49F4">
              <w:rPr>
                <w:szCs w:val="18"/>
              </w:rPr>
              <w:t>Infections (OIs) in Studied Populations</w:t>
            </w:r>
          </w:p>
          <w:p w:rsidR="00674FB1" w:rsidRPr="00FF49F4" w:rsidRDefault="00674FB1" w:rsidP="00C36854">
            <w:pPr>
              <w:rPr>
                <w:szCs w:val="18"/>
              </w:rPr>
            </w:pPr>
          </w:p>
        </w:tc>
        <w:tc>
          <w:tcPr>
            <w:tcW w:w="4428" w:type="dxa"/>
            <w:shd w:val="clear" w:color="auto" w:fill="66FF33"/>
          </w:tcPr>
          <w:p w:rsidR="00674FB1" w:rsidRPr="00FF49F4" w:rsidRDefault="001A7C2E" w:rsidP="00B8678E">
            <w:pPr>
              <w:rPr>
                <w:szCs w:val="18"/>
              </w:rPr>
            </w:pPr>
            <w:r>
              <w:rPr>
                <w:szCs w:val="18"/>
              </w:rPr>
              <w:t>Drug Y</w:t>
            </w:r>
          </w:p>
          <w:p w:rsidR="00674FB1" w:rsidRPr="00FF49F4" w:rsidRDefault="00674FB1" w:rsidP="00C36854">
            <w:pPr>
              <w:rPr>
                <w:szCs w:val="18"/>
              </w:rPr>
            </w:pPr>
            <w:r w:rsidRPr="00FF49F4">
              <w:rPr>
                <w:szCs w:val="18"/>
              </w:rPr>
              <w:t xml:space="preserve">0.07 </w:t>
            </w:r>
            <w:proofErr w:type="spellStart"/>
            <w:r w:rsidRPr="00FF49F4">
              <w:rPr>
                <w:szCs w:val="18"/>
              </w:rPr>
              <w:t>OIs</w:t>
            </w:r>
            <w:proofErr w:type="spellEnd"/>
            <w:r w:rsidRPr="00FF49F4">
              <w:rPr>
                <w:szCs w:val="18"/>
              </w:rPr>
              <w:t xml:space="preserve">/1000 </w:t>
            </w:r>
            <w:proofErr w:type="spellStart"/>
            <w:r w:rsidRPr="00FF49F4">
              <w:rPr>
                <w:szCs w:val="18"/>
              </w:rPr>
              <w:t>pt</w:t>
            </w:r>
            <w:proofErr w:type="spellEnd"/>
            <w:r w:rsidRPr="00FF49F4">
              <w:rPr>
                <w:szCs w:val="18"/>
              </w:rPr>
              <w:t>-years</w:t>
            </w:r>
          </w:p>
        </w:tc>
        <w:tc>
          <w:tcPr>
            <w:tcW w:w="1345" w:type="dxa"/>
            <w:shd w:val="clear" w:color="auto" w:fill="auto"/>
            <w:vAlign w:val="center"/>
          </w:tcPr>
          <w:p w:rsidR="00674FB1" w:rsidRPr="00FF49F4" w:rsidRDefault="00674FB1" w:rsidP="00C36854">
            <w:pPr>
              <w:jc w:val="center"/>
              <w:rPr>
                <w:b/>
                <w:sz w:val="36"/>
                <w:szCs w:val="18"/>
              </w:rPr>
            </w:pPr>
            <w:r w:rsidRPr="00FF49F4">
              <w:rPr>
                <w:b/>
                <w:sz w:val="36"/>
                <w:szCs w:val="18"/>
              </w:rPr>
              <w:t>&lt;</w:t>
            </w:r>
          </w:p>
        </w:tc>
        <w:tc>
          <w:tcPr>
            <w:tcW w:w="1652" w:type="dxa"/>
            <w:shd w:val="clear" w:color="auto" w:fill="FFFF00"/>
          </w:tcPr>
          <w:p w:rsidR="00674FB1" w:rsidRPr="00FF49F4" w:rsidRDefault="001A7C2E" w:rsidP="00C36854">
            <w:pPr>
              <w:jc w:val="center"/>
              <w:rPr>
                <w:szCs w:val="18"/>
              </w:rPr>
            </w:pPr>
            <w:r>
              <w:rPr>
                <w:szCs w:val="18"/>
              </w:rPr>
              <w:t>Drug V</w:t>
            </w:r>
          </w:p>
          <w:p w:rsidR="00674FB1" w:rsidRPr="00FF49F4" w:rsidRDefault="00674FB1" w:rsidP="00C36854">
            <w:pPr>
              <w:rPr>
                <w:szCs w:val="18"/>
              </w:rPr>
            </w:pPr>
            <w:r w:rsidRPr="00FF49F4">
              <w:rPr>
                <w:szCs w:val="18"/>
              </w:rPr>
              <w:t xml:space="preserve">0.61 </w:t>
            </w:r>
            <w:proofErr w:type="spellStart"/>
            <w:r w:rsidRPr="00FF49F4">
              <w:rPr>
                <w:szCs w:val="18"/>
              </w:rPr>
              <w:t>OIs</w:t>
            </w:r>
            <w:proofErr w:type="spellEnd"/>
            <w:r w:rsidRPr="00FF49F4">
              <w:rPr>
                <w:szCs w:val="18"/>
              </w:rPr>
              <w:t xml:space="preserve"> /1000 </w:t>
            </w:r>
            <w:proofErr w:type="spellStart"/>
            <w:r w:rsidRPr="00FF49F4">
              <w:rPr>
                <w:szCs w:val="18"/>
              </w:rPr>
              <w:t>pt</w:t>
            </w:r>
            <w:proofErr w:type="spellEnd"/>
            <w:r w:rsidRPr="00FF49F4">
              <w:rPr>
                <w:szCs w:val="18"/>
              </w:rPr>
              <w:t>-years</w:t>
            </w:r>
          </w:p>
        </w:tc>
        <w:tc>
          <w:tcPr>
            <w:tcW w:w="1623" w:type="dxa"/>
            <w:shd w:val="clear" w:color="auto" w:fill="FABF8F" w:themeFill="accent6" w:themeFillTint="99"/>
          </w:tcPr>
          <w:p w:rsidR="00674FB1" w:rsidRPr="00FF49F4" w:rsidRDefault="001A7C2E" w:rsidP="00C36854">
            <w:pPr>
              <w:jc w:val="center"/>
              <w:rPr>
                <w:szCs w:val="18"/>
              </w:rPr>
            </w:pPr>
            <w:r>
              <w:rPr>
                <w:szCs w:val="18"/>
              </w:rPr>
              <w:t>Drug Z</w:t>
            </w:r>
          </w:p>
          <w:p w:rsidR="00674FB1" w:rsidRPr="00FF49F4" w:rsidRDefault="00674FB1" w:rsidP="00C36854">
            <w:pPr>
              <w:rPr>
                <w:szCs w:val="18"/>
              </w:rPr>
            </w:pPr>
            <w:r w:rsidRPr="00FF49F4">
              <w:rPr>
                <w:szCs w:val="18"/>
              </w:rPr>
              <w:t xml:space="preserve">2.9 </w:t>
            </w:r>
            <w:proofErr w:type="spellStart"/>
            <w:r w:rsidRPr="00FF49F4">
              <w:rPr>
                <w:szCs w:val="18"/>
              </w:rPr>
              <w:t>OIs</w:t>
            </w:r>
            <w:proofErr w:type="spellEnd"/>
            <w:r w:rsidRPr="00FF49F4">
              <w:rPr>
                <w:szCs w:val="18"/>
              </w:rPr>
              <w:t xml:space="preserve"> /1000 </w:t>
            </w:r>
            <w:proofErr w:type="spellStart"/>
            <w:r w:rsidRPr="00FF49F4">
              <w:rPr>
                <w:szCs w:val="18"/>
              </w:rPr>
              <w:t>pt</w:t>
            </w:r>
            <w:proofErr w:type="spellEnd"/>
            <w:r w:rsidRPr="00FF49F4">
              <w:rPr>
                <w:szCs w:val="18"/>
              </w:rPr>
              <w:t>-years</w:t>
            </w:r>
          </w:p>
        </w:tc>
      </w:tr>
      <w:tr w:rsidR="00674FB1" w:rsidRPr="00FF49F4" w:rsidTr="00431229">
        <w:tc>
          <w:tcPr>
            <w:tcW w:w="4878" w:type="dxa"/>
            <w:shd w:val="clear" w:color="auto" w:fill="auto"/>
          </w:tcPr>
          <w:p w:rsidR="00674FB1" w:rsidRPr="00FF49F4" w:rsidRDefault="00674FB1" w:rsidP="00C36854">
            <w:pPr>
              <w:rPr>
                <w:szCs w:val="18"/>
              </w:rPr>
            </w:pPr>
            <w:r w:rsidRPr="00FF49F4">
              <w:rPr>
                <w:szCs w:val="18"/>
              </w:rPr>
              <w:t>Lymphoma in Studied Populations</w:t>
            </w:r>
          </w:p>
          <w:p w:rsidR="00674FB1" w:rsidRPr="00FF49F4" w:rsidRDefault="00674FB1" w:rsidP="00C36854">
            <w:pPr>
              <w:rPr>
                <w:szCs w:val="18"/>
              </w:rPr>
            </w:pPr>
          </w:p>
        </w:tc>
        <w:tc>
          <w:tcPr>
            <w:tcW w:w="4428" w:type="dxa"/>
            <w:shd w:val="clear" w:color="auto" w:fill="66FF33"/>
          </w:tcPr>
          <w:p w:rsidR="00674FB1" w:rsidRPr="00FF49F4" w:rsidRDefault="001A7C2E" w:rsidP="00C36854">
            <w:pPr>
              <w:jc w:val="center"/>
              <w:rPr>
                <w:szCs w:val="18"/>
              </w:rPr>
            </w:pPr>
            <w:r>
              <w:rPr>
                <w:szCs w:val="18"/>
              </w:rPr>
              <w:t>Drug Y</w:t>
            </w:r>
          </w:p>
          <w:p w:rsidR="00674FB1" w:rsidRPr="00FF49F4" w:rsidRDefault="00674FB1" w:rsidP="00C36854">
            <w:pPr>
              <w:rPr>
                <w:szCs w:val="18"/>
              </w:rPr>
            </w:pPr>
            <w:r w:rsidRPr="00FF49F4">
              <w:rPr>
                <w:szCs w:val="18"/>
              </w:rPr>
              <w:t xml:space="preserve">0.07 lymphomas/1000 </w:t>
            </w:r>
            <w:proofErr w:type="spellStart"/>
            <w:r w:rsidRPr="00FF49F4">
              <w:rPr>
                <w:szCs w:val="18"/>
              </w:rPr>
              <w:t>pt</w:t>
            </w:r>
            <w:proofErr w:type="spellEnd"/>
            <w:r w:rsidRPr="00FF49F4">
              <w:rPr>
                <w:szCs w:val="18"/>
              </w:rPr>
              <w:t>-years</w:t>
            </w:r>
          </w:p>
        </w:tc>
        <w:tc>
          <w:tcPr>
            <w:tcW w:w="1345" w:type="dxa"/>
            <w:shd w:val="clear" w:color="auto" w:fill="auto"/>
            <w:vAlign w:val="center"/>
          </w:tcPr>
          <w:p w:rsidR="00674FB1" w:rsidRPr="00FF49F4" w:rsidRDefault="00674FB1" w:rsidP="00C36854">
            <w:pPr>
              <w:jc w:val="center"/>
              <w:rPr>
                <w:b/>
                <w:sz w:val="36"/>
                <w:szCs w:val="18"/>
              </w:rPr>
            </w:pPr>
            <w:r w:rsidRPr="00FF49F4">
              <w:rPr>
                <w:b/>
                <w:sz w:val="36"/>
                <w:szCs w:val="18"/>
              </w:rPr>
              <w:t>&lt;</w:t>
            </w:r>
          </w:p>
        </w:tc>
        <w:tc>
          <w:tcPr>
            <w:tcW w:w="3275" w:type="dxa"/>
            <w:gridSpan w:val="2"/>
            <w:shd w:val="clear" w:color="auto" w:fill="FABF8F" w:themeFill="accent6" w:themeFillTint="99"/>
          </w:tcPr>
          <w:p w:rsidR="00674FB1" w:rsidRPr="00FF49F4" w:rsidRDefault="001A7C2E" w:rsidP="00C36854">
            <w:pPr>
              <w:jc w:val="center"/>
              <w:rPr>
                <w:szCs w:val="18"/>
              </w:rPr>
            </w:pPr>
            <w:r>
              <w:rPr>
                <w:szCs w:val="18"/>
              </w:rPr>
              <w:t>Drug V or Z</w:t>
            </w:r>
          </w:p>
          <w:p w:rsidR="00674FB1" w:rsidRPr="00FF49F4" w:rsidRDefault="00674FB1" w:rsidP="00C36854">
            <w:pPr>
              <w:rPr>
                <w:szCs w:val="18"/>
              </w:rPr>
            </w:pPr>
            <w:r w:rsidRPr="00FF49F4">
              <w:rPr>
                <w:szCs w:val="18"/>
              </w:rPr>
              <w:t xml:space="preserve">0.62 to 2.91lymphomas/1000 </w:t>
            </w:r>
            <w:proofErr w:type="spellStart"/>
            <w:r w:rsidRPr="00FF49F4">
              <w:rPr>
                <w:szCs w:val="18"/>
              </w:rPr>
              <w:t>pt</w:t>
            </w:r>
            <w:proofErr w:type="spellEnd"/>
            <w:r w:rsidRPr="00FF49F4">
              <w:rPr>
                <w:szCs w:val="18"/>
              </w:rPr>
              <w:t>-years</w:t>
            </w:r>
          </w:p>
        </w:tc>
      </w:tr>
      <w:tr w:rsidR="00674FB1" w:rsidRPr="00FF49F4" w:rsidTr="00431229">
        <w:tc>
          <w:tcPr>
            <w:tcW w:w="4878" w:type="dxa"/>
            <w:shd w:val="clear" w:color="auto" w:fill="auto"/>
          </w:tcPr>
          <w:p w:rsidR="00674FB1" w:rsidRPr="00FF49F4" w:rsidRDefault="00674FB1" w:rsidP="00C36854">
            <w:pPr>
              <w:rPr>
                <w:szCs w:val="18"/>
              </w:rPr>
            </w:pPr>
            <w:r w:rsidRPr="00FF49F4">
              <w:rPr>
                <w:szCs w:val="18"/>
              </w:rPr>
              <w:t xml:space="preserve">Withdrawals and Withdrawals due to Adverse Events in RA </w:t>
            </w:r>
          </w:p>
          <w:p w:rsidR="00674FB1" w:rsidRPr="00FF49F4" w:rsidRDefault="00674FB1" w:rsidP="00C36854">
            <w:pPr>
              <w:rPr>
                <w:szCs w:val="18"/>
              </w:rPr>
            </w:pPr>
          </w:p>
          <w:p w:rsidR="00674FB1" w:rsidRPr="00FF49F4" w:rsidRDefault="00674FB1" w:rsidP="00C36854">
            <w:pPr>
              <w:rPr>
                <w:szCs w:val="18"/>
              </w:rPr>
            </w:pPr>
            <w:r w:rsidRPr="00FF49F4">
              <w:rPr>
                <w:szCs w:val="18"/>
              </w:rPr>
              <w:t>Absolute risk estimates for withdrawals not provided because of inconsistent results from RCTs and observational data.</w:t>
            </w:r>
          </w:p>
        </w:tc>
        <w:tc>
          <w:tcPr>
            <w:tcW w:w="4428" w:type="dxa"/>
            <w:shd w:val="clear" w:color="auto" w:fill="66FF33"/>
          </w:tcPr>
          <w:p w:rsidR="00674FB1" w:rsidRPr="00FF49F4" w:rsidRDefault="001A7C2E" w:rsidP="00C36854">
            <w:pPr>
              <w:rPr>
                <w:szCs w:val="18"/>
              </w:rPr>
            </w:pPr>
            <w:r>
              <w:rPr>
                <w:szCs w:val="18"/>
              </w:rPr>
              <w:t>Drug V</w:t>
            </w:r>
            <w:r w:rsidR="00674FB1" w:rsidRPr="00FF49F4">
              <w:rPr>
                <w:szCs w:val="18"/>
              </w:rPr>
              <w:t xml:space="preserve"> Odds Ratio (95% CI 0.32 to 0.78)</w:t>
            </w:r>
          </w:p>
          <w:p w:rsidR="00674FB1" w:rsidRPr="00FF49F4" w:rsidRDefault="001A7C2E" w:rsidP="00C36854">
            <w:pPr>
              <w:rPr>
                <w:szCs w:val="18"/>
              </w:rPr>
            </w:pPr>
            <w:r>
              <w:rPr>
                <w:szCs w:val="18"/>
              </w:rPr>
              <w:t>Drug Y</w:t>
            </w:r>
            <w:r w:rsidR="00674FB1" w:rsidRPr="00FF49F4">
              <w:rPr>
                <w:szCs w:val="18"/>
              </w:rPr>
              <w:t xml:space="preserve"> Odds Ratio 0.63 (95% CI 0.41 to 0.950)</w:t>
            </w:r>
          </w:p>
          <w:p w:rsidR="00674FB1" w:rsidRPr="00FF49F4" w:rsidRDefault="001A7C2E" w:rsidP="00C36854">
            <w:pPr>
              <w:rPr>
                <w:szCs w:val="18"/>
              </w:rPr>
            </w:pPr>
            <w:r>
              <w:rPr>
                <w:szCs w:val="18"/>
              </w:rPr>
              <w:t>Drug X</w:t>
            </w:r>
            <w:r w:rsidR="00C5185B" w:rsidRPr="00FF49F4">
              <w:rPr>
                <w:szCs w:val="18"/>
              </w:rPr>
              <w:t xml:space="preserve"> </w:t>
            </w:r>
            <w:r w:rsidR="00674FB1" w:rsidRPr="00FF49F4">
              <w:rPr>
                <w:szCs w:val="18"/>
              </w:rPr>
              <w:t>Odds Ratio 0.55 (95% CI 0.30 to 0.99</w:t>
            </w:r>
          </w:p>
        </w:tc>
        <w:tc>
          <w:tcPr>
            <w:tcW w:w="1345" w:type="dxa"/>
            <w:shd w:val="clear" w:color="auto" w:fill="auto"/>
            <w:vAlign w:val="center"/>
          </w:tcPr>
          <w:p w:rsidR="00674FB1" w:rsidRPr="00FF49F4" w:rsidRDefault="00674FB1" w:rsidP="00C36854">
            <w:pPr>
              <w:jc w:val="center"/>
              <w:rPr>
                <w:b/>
                <w:sz w:val="36"/>
                <w:szCs w:val="18"/>
              </w:rPr>
            </w:pPr>
            <w:r w:rsidRPr="00FF49F4">
              <w:rPr>
                <w:b/>
                <w:sz w:val="36"/>
                <w:szCs w:val="18"/>
              </w:rPr>
              <w:t>&lt;</w:t>
            </w:r>
          </w:p>
        </w:tc>
        <w:tc>
          <w:tcPr>
            <w:tcW w:w="3275" w:type="dxa"/>
            <w:gridSpan w:val="2"/>
            <w:shd w:val="clear" w:color="auto" w:fill="FABF8F" w:themeFill="accent6" w:themeFillTint="99"/>
          </w:tcPr>
          <w:p w:rsidR="00674FB1" w:rsidRPr="00FF49F4" w:rsidRDefault="00C5185B" w:rsidP="00C36854">
            <w:pPr>
              <w:rPr>
                <w:szCs w:val="18"/>
              </w:rPr>
            </w:pPr>
            <w:r w:rsidRPr="00FF49F4">
              <w:rPr>
                <w:szCs w:val="18"/>
              </w:rPr>
              <w:t xml:space="preserve">Drug </w:t>
            </w:r>
            <w:r w:rsidR="001A7C2E">
              <w:rPr>
                <w:szCs w:val="18"/>
              </w:rPr>
              <w:t>Z</w:t>
            </w:r>
          </w:p>
        </w:tc>
      </w:tr>
    </w:tbl>
    <w:p w:rsidR="001C679A" w:rsidRDefault="001C679A" w:rsidP="00674FB1">
      <w:pPr>
        <w:ind w:left="360" w:hanging="360"/>
        <w:rPr>
          <w:b/>
          <w:sz w:val="18"/>
          <w:szCs w:val="18"/>
        </w:rPr>
      </w:pPr>
    </w:p>
    <w:p w:rsidR="001C679A" w:rsidRDefault="001C679A" w:rsidP="00674FB1">
      <w:pPr>
        <w:ind w:left="360" w:hanging="360"/>
        <w:rPr>
          <w:b/>
          <w:sz w:val="18"/>
          <w:szCs w:val="18"/>
        </w:rPr>
      </w:pPr>
    </w:p>
    <w:p w:rsidR="001C679A" w:rsidRDefault="001C679A" w:rsidP="001C679A">
      <w:pPr>
        <w:rPr>
          <w:b/>
          <w:sz w:val="18"/>
          <w:szCs w:val="18"/>
        </w:rPr>
      </w:pPr>
      <w:r w:rsidRPr="007E0792">
        <w:rPr>
          <w:b/>
          <w:sz w:val="18"/>
          <w:szCs w:val="18"/>
        </w:rPr>
        <w:t xml:space="preserve"> </w:t>
      </w:r>
    </w:p>
    <w:p w:rsidR="00B2075A" w:rsidRPr="00726E98" w:rsidRDefault="006904EE" w:rsidP="00B2075A">
      <w:pPr>
        <w:rPr>
          <w:b/>
          <w:color w:val="auto"/>
          <w:sz w:val="18"/>
          <w:szCs w:val="18"/>
        </w:rPr>
      </w:pPr>
      <w:r>
        <w:br w:type="page"/>
      </w:r>
      <w:r w:rsidR="001C679A" w:rsidRPr="007E0792">
        <w:rPr>
          <w:b/>
          <w:sz w:val="18"/>
          <w:szCs w:val="18"/>
        </w:rPr>
        <w:lastRenderedPageBreak/>
        <w:t xml:space="preserve"> </w:t>
      </w:r>
      <w:r w:rsidR="00B2075A" w:rsidRPr="00726E98">
        <w:rPr>
          <w:b/>
          <w:sz w:val="18"/>
          <w:szCs w:val="18"/>
        </w:rPr>
        <w:t xml:space="preserve">4.  Magnetic Resonance Imaging (MRI) for </w:t>
      </w:r>
      <w:r w:rsidR="00B2075A" w:rsidRPr="00726E98">
        <w:rPr>
          <w:b/>
          <w:color w:val="auto"/>
          <w:sz w:val="18"/>
          <w:szCs w:val="18"/>
        </w:rPr>
        <w:t xml:space="preserve">Diagnosis and Treatment of Women at High Risk </w:t>
      </w:r>
      <w:proofErr w:type="gramStart"/>
      <w:r w:rsidR="00B2075A" w:rsidRPr="00726E98">
        <w:rPr>
          <w:b/>
          <w:color w:val="auto"/>
          <w:sz w:val="18"/>
          <w:szCs w:val="18"/>
        </w:rPr>
        <w:t>For</w:t>
      </w:r>
      <w:proofErr w:type="gramEnd"/>
      <w:r w:rsidR="00B2075A" w:rsidRPr="00726E98">
        <w:rPr>
          <w:b/>
          <w:color w:val="auto"/>
          <w:sz w:val="18"/>
          <w:szCs w:val="18"/>
        </w:rPr>
        <w:t xml:space="preserve"> or With a Personal History of Breast Cancer</w:t>
      </w:r>
    </w:p>
    <w:p w:rsidR="001C679A" w:rsidRPr="007E0792" w:rsidRDefault="00B2075A" w:rsidP="00B2075A">
      <w:pPr>
        <w:rPr>
          <w:color w:val="auto"/>
          <w:sz w:val="18"/>
          <w:szCs w:val="18"/>
        </w:rPr>
      </w:pPr>
      <w:r w:rsidRPr="00726E98">
        <w:rPr>
          <w:b/>
          <w:sz w:val="18"/>
          <w:szCs w:val="18"/>
        </w:rPr>
        <w:t xml:space="preserve">Delfini Conclusions Summary by Considerations (Based on </w:t>
      </w:r>
      <w:proofErr w:type="gramStart"/>
      <w:r w:rsidRPr="00726E98">
        <w:rPr>
          <w:b/>
          <w:sz w:val="18"/>
          <w:szCs w:val="18"/>
        </w:rPr>
        <w:t>Delfini  Systematic</w:t>
      </w:r>
      <w:proofErr w:type="gramEnd"/>
      <w:r w:rsidRPr="00726E98">
        <w:rPr>
          <w:b/>
          <w:sz w:val="18"/>
          <w:szCs w:val="18"/>
        </w:rPr>
        <w:t xml:space="preserve"> Review: available  </w:t>
      </w:r>
      <w:hyperlink r:id="rId8" w:history="1">
        <w:r>
          <w:rPr>
            <w:rStyle w:val="Hyperlink"/>
          </w:rPr>
          <w:t>http://www.hta.hca.wa.gov/breast.html</w:t>
        </w:r>
      </w:hyperlink>
      <w:r>
        <w:t>)</w:t>
      </w:r>
    </w:p>
    <w:tbl>
      <w:tblPr>
        <w:tblW w:w="1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9"/>
        <w:gridCol w:w="3787"/>
        <w:gridCol w:w="4751"/>
      </w:tblGrid>
      <w:tr w:rsidR="001C679A" w:rsidRPr="007E0792" w:rsidTr="00726E98">
        <w:tc>
          <w:tcPr>
            <w:tcW w:w="5769" w:type="dxa"/>
          </w:tcPr>
          <w:p w:rsidR="001C679A" w:rsidRPr="007E0792" w:rsidRDefault="001C679A" w:rsidP="00726E98">
            <w:pPr>
              <w:shd w:val="clear" w:color="auto" w:fill="D9D9D9"/>
              <w:tabs>
                <w:tab w:val="left" w:pos="357"/>
              </w:tabs>
              <w:ind w:right="-408"/>
              <w:rPr>
                <w:sz w:val="18"/>
                <w:szCs w:val="18"/>
              </w:rPr>
            </w:pPr>
            <w:r w:rsidRPr="007E0792">
              <w:rPr>
                <w:b/>
                <w:sz w:val="18"/>
                <w:szCs w:val="18"/>
              </w:rPr>
              <w:t>Values Key</w:t>
            </w:r>
            <w:r w:rsidRPr="007E0792">
              <w:rPr>
                <w:sz w:val="18"/>
                <w:szCs w:val="18"/>
              </w:rPr>
              <w:t xml:space="preserve">:   </w:t>
            </w:r>
          </w:p>
          <w:p w:rsidR="001C679A" w:rsidRPr="007E0792" w:rsidRDefault="001C679A" w:rsidP="00726E98">
            <w:pPr>
              <w:shd w:val="clear" w:color="auto" w:fill="D9D9D9"/>
              <w:tabs>
                <w:tab w:val="left" w:pos="357"/>
              </w:tabs>
              <w:ind w:right="-408"/>
              <w:rPr>
                <w:b/>
                <w:sz w:val="18"/>
                <w:szCs w:val="18"/>
              </w:rPr>
            </w:pPr>
            <w:r w:rsidRPr="007E0792">
              <w:rPr>
                <w:b/>
                <w:sz w:val="22"/>
                <w:szCs w:val="22"/>
              </w:rPr>
              <w:t>+</w:t>
            </w:r>
            <w:r w:rsidRPr="007E0792">
              <w:rPr>
                <w:b/>
                <w:sz w:val="18"/>
                <w:szCs w:val="18"/>
              </w:rPr>
              <w:t xml:space="preserve">    Positive or Use</w:t>
            </w:r>
          </w:p>
          <w:p w:rsidR="001C679A" w:rsidRPr="007E0792" w:rsidRDefault="001C679A" w:rsidP="00726E98">
            <w:pPr>
              <w:shd w:val="clear" w:color="auto" w:fill="D9D9D9"/>
              <w:tabs>
                <w:tab w:val="left" w:pos="357"/>
              </w:tabs>
              <w:ind w:right="-408"/>
              <w:rPr>
                <w:b/>
                <w:sz w:val="18"/>
                <w:szCs w:val="18"/>
              </w:rPr>
            </w:pPr>
            <w:r w:rsidRPr="007E0792">
              <w:rPr>
                <w:b/>
                <w:sz w:val="18"/>
                <w:szCs w:val="18"/>
              </w:rPr>
              <w:t xml:space="preserve"> ?     Medium Strength to Borderline Uncertainty </w:t>
            </w:r>
          </w:p>
          <w:p w:rsidR="001C679A" w:rsidRPr="007E0792" w:rsidRDefault="001C679A" w:rsidP="00726E98">
            <w:pPr>
              <w:shd w:val="clear" w:color="auto" w:fill="D9D9D9"/>
              <w:tabs>
                <w:tab w:val="left" w:pos="357"/>
              </w:tabs>
              <w:ind w:right="-408"/>
              <w:rPr>
                <w:b/>
                <w:sz w:val="18"/>
                <w:szCs w:val="18"/>
              </w:rPr>
            </w:pPr>
            <w:r w:rsidRPr="007E0792">
              <w:rPr>
                <w:b/>
                <w:sz w:val="18"/>
                <w:szCs w:val="18"/>
              </w:rPr>
              <w:t xml:space="preserve">—    Negative or Avoid </w:t>
            </w:r>
          </w:p>
          <w:p w:rsidR="001C679A" w:rsidRPr="007E0792" w:rsidRDefault="001C679A" w:rsidP="00726E98">
            <w:pPr>
              <w:rPr>
                <w:b/>
                <w:sz w:val="18"/>
                <w:szCs w:val="18"/>
              </w:rPr>
            </w:pPr>
          </w:p>
          <w:p w:rsidR="001C679A" w:rsidRPr="007E0792" w:rsidRDefault="001C679A" w:rsidP="00726E98">
            <w:pPr>
              <w:rPr>
                <w:b/>
                <w:sz w:val="18"/>
                <w:szCs w:val="18"/>
              </w:rPr>
            </w:pPr>
            <w:r w:rsidRPr="007E0792">
              <w:rPr>
                <w:b/>
                <w:sz w:val="18"/>
                <w:szCs w:val="18"/>
              </w:rPr>
              <w:t>Criteria Key &amp; Notes</w:t>
            </w:r>
          </w:p>
          <w:p w:rsidR="001C679A" w:rsidRPr="007E0792" w:rsidRDefault="001C679A" w:rsidP="00726E98">
            <w:pPr>
              <w:rPr>
                <w:b/>
                <w:sz w:val="18"/>
                <w:szCs w:val="18"/>
              </w:rPr>
            </w:pPr>
            <w:r w:rsidRPr="007E0792">
              <w:rPr>
                <w:b/>
                <w:sz w:val="18"/>
                <w:szCs w:val="18"/>
              </w:rPr>
              <w:t>Evidence Quality: Therapies [Diagnostics]</w:t>
            </w:r>
          </w:p>
          <w:p w:rsidR="001C679A" w:rsidRPr="007E0792" w:rsidRDefault="001C679A" w:rsidP="00726E98">
            <w:pPr>
              <w:rPr>
                <w:sz w:val="18"/>
                <w:szCs w:val="18"/>
              </w:rPr>
            </w:pPr>
            <w:r w:rsidRPr="007E0792">
              <w:rPr>
                <w:b/>
                <w:sz w:val="18"/>
                <w:szCs w:val="18"/>
              </w:rPr>
              <w:t>+</w:t>
            </w:r>
            <w:r w:rsidRPr="007E0792">
              <w:rPr>
                <w:sz w:val="18"/>
                <w:szCs w:val="18"/>
              </w:rPr>
              <w:t xml:space="preserve"> Low-risk of bias RCT data [low-risk of bias observational studies meeting critical appraisal criteria for diagnostic testing]</w:t>
            </w:r>
          </w:p>
          <w:p w:rsidR="001C679A" w:rsidRPr="007E0792" w:rsidRDefault="001C679A" w:rsidP="00726E98">
            <w:pPr>
              <w:rPr>
                <w:sz w:val="18"/>
                <w:szCs w:val="18"/>
              </w:rPr>
            </w:pPr>
            <w:r w:rsidRPr="007E0792">
              <w:rPr>
                <w:sz w:val="18"/>
                <w:szCs w:val="18"/>
              </w:rPr>
              <w:t>?   Med/borderline-risk of bias RCT data; all-or-none observations with low-risk of confounding [med/borderline-risk of bias observational studies meeting critical appraisal criteria for diagnostic testing]</w:t>
            </w:r>
          </w:p>
          <w:p w:rsidR="001C679A" w:rsidRPr="007E0792" w:rsidRDefault="001C679A" w:rsidP="00726E98">
            <w:pPr>
              <w:rPr>
                <w:sz w:val="18"/>
                <w:szCs w:val="18"/>
              </w:rPr>
            </w:pPr>
            <w:r w:rsidRPr="007E0792">
              <w:rPr>
                <w:sz w:val="18"/>
                <w:szCs w:val="18"/>
              </w:rPr>
              <w:t>— RCT data at high-risk of bias, observational studies, opinion [high risk of bias observational studies OR observational studies not meeting critical appraisal criteria for diagnostic testing]</w:t>
            </w:r>
          </w:p>
          <w:p w:rsidR="001C679A" w:rsidRPr="007E0792" w:rsidRDefault="001C679A" w:rsidP="00726E98">
            <w:pPr>
              <w:rPr>
                <w:sz w:val="18"/>
                <w:szCs w:val="18"/>
              </w:rPr>
            </w:pPr>
          </w:p>
          <w:p w:rsidR="001C679A" w:rsidRPr="007E0792" w:rsidRDefault="001C679A" w:rsidP="00726E98">
            <w:pPr>
              <w:rPr>
                <w:b/>
                <w:sz w:val="18"/>
                <w:szCs w:val="18"/>
              </w:rPr>
            </w:pPr>
            <w:r w:rsidRPr="007E0792">
              <w:rPr>
                <w:b/>
                <w:sz w:val="18"/>
                <w:szCs w:val="18"/>
              </w:rPr>
              <w:t>Clinical Significance (with consideration of size of outcomes)</w:t>
            </w:r>
          </w:p>
          <w:p w:rsidR="001C679A" w:rsidRPr="007E0792" w:rsidRDefault="001C679A" w:rsidP="00726E98">
            <w:pPr>
              <w:rPr>
                <w:snapToGrid w:val="0"/>
                <w:sz w:val="18"/>
                <w:szCs w:val="18"/>
              </w:rPr>
            </w:pPr>
            <w:r w:rsidRPr="007E0792">
              <w:rPr>
                <w:sz w:val="18"/>
                <w:szCs w:val="18"/>
              </w:rPr>
              <w:t xml:space="preserve">+ </w:t>
            </w:r>
            <w:r w:rsidRPr="007E0792">
              <w:rPr>
                <w:snapToGrid w:val="0"/>
                <w:sz w:val="18"/>
                <w:szCs w:val="18"/>
              </w:rPr>
              <w:t>Morbidity, mortality, symptom relief, emotional/physical functioning, health-related quality of life</w:t>
            </w:r>
          </w:p>
          <w:p w:rsidR="001C679A" w:rsidRPr="007E0792" w:rsidRDefault="001C679A" w:rsidP="00726E98">
            <w:pPr>
              <w:rPr>
                <w:sz w:val="18"/>
                <w:szCs w:val="18"/>
              </w:rPr>
            </w:pPr>
            <w:r w:rsidRPr="007E0792">
              <w:rPr>
                <w:snapToGrid w:val="0"/>
                <w:sz w:val="18"/>
                <w:szCs w:val="18"/>
              </w:rPr>
              <w:t xml:space="preserve">?   </w:t>
            </w:r>
            <w:r w:rsidRPr="007E0792">
              <w:rPr>
                <w:sz w:val="18"/>
                <w:szCs w:val="18"/>
              </w:rPr>
              <w:t>Intermediate outcomes with proof of direct causal chain to clinically meaningful outcomes</w:t>
            </w:r>
          </w:p>
          <w:p w:rsidR="001C679A" w:rsidRPr="007E0792" w:rsidRDefault="001C679A" w:rsidP="00726E98">
            <w:pPr>
              <w:rPr>
                <w:sz w:val="18"/>
                <w:szCs w:val="18"/>
              </w:rPr>
            </w:pPr>
            <w:r w:rsidRPr="007E0792">
              <w:rPr>
                <w:sz w:val="18"/>
                <w:szCs w:val="18"/>
              </w:rPr>
              <w:t>— Intermediate outcomes without proof of direct causal chain or other outcomes</w:t>
            </w:r>
          </w:p>
          <w:p w:rsidR="001C679A" w:rsidRPr="007E0792" w:rsidRDefault="001C679A" w:rsidP="00726E98">
            <w:pPr>
              <w:rPr>
                <w:sz w:val="18"/>
                <w:szCs w:val="18"/>
              </w:rPr>
            </w:pPr>
          </w:p>
          <w:p w:rsidR="001C679A" w:rsidRPr="007E0792" w:rsidRDefault="001C679A" w:rsidP="00726E98">
            <w:pPr>
              <w:rPr>
                <w:b/>
                <w:sz w:val="18"/>
                <w:szCs w:val="18"/>
              </w:rPr>
            </w:pPr>
            <w:r w:rsidRPr="007E0792">
              <w:rPr>
                <w:b/>
                <w:sz w:val="18"/>
                <w:szCs w:val="18"/>
              </w:rPr>
              <w:t>Size of the Outcomes</w:t>
            </w:r>
          </w:p>
          <w:p w:rsidR="001C679A" w:rsidRPr="007E0792" w:rsidRDefault="001C679A" w:rsidP="00726E98">
            <w:pPr>
              <w:rPr>
                <w:sz w:val="18"/>
                <w:szCs w:val="18"/>
              </w:rPr>
            </w:pPr>
            <w:r w:rsidRPr="007E0792">
              <w:rPr>
                <w:sz w:val="18"/>
                <w:szCs w:val="18"/>
              </w:rPr>
              <w:t xml:space="preserve">Sufficient size is a judgment depending on context and outcome. Review confidence intervals.  </w:t>
            </w:r>
            <w:r w:rsidRPr="007E0792">
              <w:rPr>
                <w:b/>
                <w:sz w:val="18"/>
                <w:szCs w:val="18"/>
              </w:rPr>
              <w:t>No difference may reflect a power issue.</w:t>
            </w:r>
            <w:r w:rsidRPr="007E0792">
              <w:rPr>
                <w:sz w:val="18"/>
                <w:szCs w:val="18"/>
              </w:rPr>
              <w:t xml:space="preserve">  </w:t>
            </w:r>
          </w:p>
          <w:p w:rsidR="001C679A" w:rsidRPr="007E0792" w:rsidRDefault="001C679A" w:rsidP="00726E98">
            <w:pPr>
              <w:rPr>
                <w:b/>
                <w:sz w:val="18"/>
                <w:szCs w:val="18"/>
              </w:rPr>
            </w:pPr>
          </w:p>
          <w:p w:rsidR="001C679A" w:rsidRPr="007E0792" w:rsidRDefault="001C679A" w:rsidP="00726E98">
            <w:pPr>
              <w:rPr>
                <w:b/>
                <w:sz w:val="18"/>
                <w:szCs w:val="18"/>
              </w:rPr>
            </w:pPr>
            <w:r w:rsidRPr="007E0792">
              <w:rPr>
                <w:b/>
                <w:sz w:val="18"/>
                <w:szCs w:val="18"/>
              </w:rPr>
              <w:t>Safety</w:t>
            </w:r>
          </w:p>
          <w:p w:rsidR="001C679A" w:rsidRPr="007E0792" w:rsidRDefault="001C679A" w:rsidP="00726E98">
            <w:pPr>
              <w:rPr>
                <w:sz w:val="18"/>
                <w:szCs w:val="18"/>
              </w:rPr>
            </w:pPr>
            <w:r w:rsidRPr="007E0792">
              <w:rPr>
                <w:sz w:val="18"/>
                <w:szCs w:val="18"/>
              </w:rPr>
              <w:t>NNH is a judgment depending on the harm.</w:t>
            </w:r>
          </w:p>
          <w:p w:rsidR="001C679A" w:rsidRPr="007E0792" w:rsidRDefault="001C679A" w:rsidP="00726E98">
            <w:pPr>
              <w:rPr>
                <w:snapToGrid w:val="0"/>
                <w:sz w:val="18"/>
                <w:szCs w:val="18"/>
              </w:rPr>
            </w:pPr>
            <w:r w:rsidRPr="007E0792">
              <w:rPr>
                <w:sz w:val="18"/>
                <w:szCs w:val="18"/>
              </w:rPr>
              <w:t xml:space="preserve">+ </w:t>
            </w:r>
            <w:r w:rsidRPr="007E0792">
              <w:rPr>
                <w:snapToGrid w:val="0"/>
                <w:sz w:val="18"/>
                <w:szCs w:val="18"/>
              </w:rPr>
              <w:t>Sufficient to determine safe</w:t>
            </w:r>
          </w:p>
          <w:p w:rsidR="001C679A" w:rsidRPr="007E0792" w:rsidRDefault="001C679A" w:rsidP="00726E98">
            <w:pPr>
              <w:rPr>
                <w:sz w:val="18"/>
                <w:szCs w:val="18"/>
              </w:rPr>
            </w:pPr>
            <w:r w:rsidRPr="007E0792">
              <w:rPr>
                <w:snapToGrid w:val="0"/>
                <w:sz w:val="18"/>
                <w:szCs w:val="18"/>
              </w:rPr>
              <w:t>—</w:t>
            </w:r>
            <w:r w:rsidRPr="007E0792">
              <w:rPr>
                <w:sz w:val="18"/>
                <w:szCs w:val="18"/>
              </w:rPr>
              <w:t xml:space="preserve"> Borderline or insufficient to determine safe or determined not safe</w:t>
            </w:r>
          </w:p>
          <w:p w:rsidR="001C679A" w:rsidRPr="007E0792" w:rsidRDefault="001C679A" w:rsidP="00726E98">
            <w:pPr>
              <w:rPr>
                <w:sz w:val="18"/>
                <w:szCs w:val="18"/>
              </w:rPr>
            </w:pPr>
          </w:p>
          <w:p w:rsidR="001C679A" w:rsidRPr="007E0792" w:rsidRDefault="001C679A" w:rsidP="00726E98">
            <w:pPr>
              <w:rPr>
                <w:b/>
                <w:sz w:val="18"/>
                <w:szCs w:val="18"/>
              </w:rPr>
            </w:pPr>
            <w:r w:rsidRPr="007E0792">
              <w:rPr>
                <w:b/>
                <w:sz w:val="18"/>
                <w:szCs w:val="18"/>
              </w:rPr>
              <w:t>Cost Analysis</w:t>
            </w:r>
          </w:p>
          <w:p w:rsidR="001C679A" w:rsidRPr="007E0792" w:rsidRDefault="001C679A" w:rsidP="00726E98">
            <w:pPr>
              <w:rPr>
                <w:sz w:val="18"/>
                <w:szCs w:val="18"/>
              </w:rPr>
            </w:pPr>
            <w:r w:rsidRPr="007E0792">
              <w:rPr>
                <w:sz w:val="18"/>
                <w:szCs w:val="18"/>
              </w:rPr>
              <w:t>+ Low-risk of bias plus reasonable assumptions</w:t>
            </w:r>
          </w:p>
          <w:p w:rsidR="001C679A" w:rsidRPr="007E0792" w:rsidRDefault="001C679A" w:rsidP="00726E98">
            <w:pPr>
              <w:rPr>
                <w:sz w:val="18"/>
                <w:szCs w:val="18"/>
              </w:rPr>
            </w:pPr>
            <w:r w:rsidRPr="007E0792">
              <w:rPr>
                <w:sz w:val="18"/>
                <w:szCs w:val="18"/>
              </w:rPr>
              <w:t>?  Medium/borderline risk of bias and/or questionable assumptions</w:t>
            </w:r>
          </w:p>
          <w:p w:rsidR="001C679A" w:rsidRPr="007E0792" w:rsidRDefault="001C679A" w:rsidP="00726E98">
            <w:pPr>
              <w:rPr>
                <w:sz w:val="18"/>
                <w:szCs w:val="18"/>
              </w:rPr>
            </w:pPr>
            <w:r w:rsidRPr="007E0792">
              <w:rPr>
                <w:sz w:val="18"/>
                <w:szCs w:val="18"/>
              </w:rPr>
              <w:t>— High risk of bias or questionable or poor assumptions</w:t>
            </w:r>
          </w:p>
        </w:tc>
        <w:tc>
          <w:tcPr>
            <w:tcW w:w="3787" w:type="dxa"/>
          </w:tcPr>
          <w:p w:rsidR="001C679A" w:rsidRPr="007E0792" w:rsidRDefault="001C679A" w:rsidP="00726E98">
            <w:pPr>
              <w:rPr>
                <w:b/>
                <w:sz w:val="18"/>
                <w:szCs w:val="18"/>
              </w:rPr>
            </w:pPr>
            <w:r w:rsidRPr="007E0792">
              <w:rPr>
                <w:b/>
                <w:sz w:val="18"/>
                <w:szCs w:val="18"/>
              </w:rPr>
              <w:t>Considerations</w:t>
            </w:r>
          </w:p>
          <w:p w:rsidR="001C679A" w:rsidRPr="007E0792" w:rsidRDefault="001C679A" w:rsidP="00726E98">
            <w:pPr>
              <w:rPr>
                <w:b/>
                <w:sz w:val="18"/>
                <w:szCs w:val="18"/>
              </w:rPr>
            </w:pPr>
            <w:r w:rsidRPr="007E0792">
              <w:rPr>
                <w:b/>
                <w:sz w:val="18"/>
                <w:szCs w:val="18"/>
              </w:rPr>
              <w:t>Alternatives</w:t>
            </w:r>
          </w:p>
          <w:p w:rsidR="001C679A" w:rsidRPr="007E0792" w:rsidRDefault="001C679A" w:rsidP="00726E98">
            <w:pPr>
              <w:rPr>
                <w:sz w:val="18"/>
                <w:szCs w:val="18"/>
              </w:rPr>
            </w:pPr>
            <w:r w:rsidRPr="007E0792">
              <w:rPr>
                <w:sz w:val="18"/>
                <w:szCs w:val="18"/>
              </w:rPr>
              <w:t>Including evidence quality, effectiveness, safety, cost, QALY assessment</w:t>
            </w:r>
          </w:p>
          <w:p w:rsidR="001C679A" w:rsidRPr="007E0792" w:rsidRDefault="001C679A" w:rsidP="00726E98">
            <w:pPr>
              <w:rPr>
                <w:sz w:val="18"/>
                <w:szCs w:val="18"/>
              </w:rPr>
            </w:pPr>
          </w:p>
          <w:p w:rsidR="001C679A" w:rsidRPr="007E0792" w:rsidRDefault="001C679A" w:rsidP="00726E98">
            <w:pPr>
              <w:rPr>
                <w:b/>
                <w:sz w:val="18"/>
                <w:szCs w:val="18"/>
              </w:rPr>
            </w:pPr>
            <w:r w:rsidRPr="007E0792">
              <w:rPr>
                <w:b/>
                <w:sz w:val="18"/>
                <w:szCs w:val="18"/>
              </w:rPr>
              <w:t>Patient Perspective</w:t>
            </w:r>
          </w:p>
          <w:p w:rsidR="001C679A" w:rsidRPr="007E0792" w:rsidRDefault="001C679A" w:rsidP="00726E98">
            <w:pPr>
              <w:numPr>
                <w:ilvl w:val="0"/>
                <w:numId w:val="11"/>
              </w:numPr>
              <w:rPr>
                <w:sz w:val="18"/>
                <w:szCs w:val="18"/>
              </w:rPr>
            </w:pPr>
            <w:r w:rsidRPr="007E0792">
              <w:rPr>
                <w:sz w:val="18"/>
                <w:szCs w:val="18"/>
              </w:rPr>
              <w:t>benefits</w:t>
            </w:r>
          </w:p>
          <w:p w:rsidR="001C679A" w:rsidRPr="007E0792" w:rsidRDefault="001C679A" w:rsidP="00726E98">
            <w:pPr>
              <w:numPr>
                <w:ilvl w:val="0"/>
                <w:numId w:val="11"/>
              </w:numPr>
              <w:rPr>
                <w:sz w:val="18"/>
                <w:szCs w:val="18"/>
              </w:rPr>
            </w:pPr>
            <w:r w:rsidRPr="007E0792">
              <w:rPr>
                <w:sz w:val="18"/>
                <w:szCs w:val="18"/>
              </w:rPr>
              <w:t>harms and risks</w:t>
            </w:r>
          </w:p>
          <w:p w:rsidR="001C679A" w:rsidRPr="007E0792" w:rsidRDefault="001C679A" w:rsidP="00726E98">
            <w:pPr>
              <w:numPr>
                <w:ilvl w:val="0"/>
                <w:numId w:val="11"/>
              </w:numPr>
              <w:rPr>
                <w:sz w:val="18"/>
                <w:szCs w:val="18"/>
              </w:rPr>
            </w:pPr>
            <w:r w:rsidRPr="007E0792">
              <w:rPr>
                <w:sz w:val="18"/>
                <w:szCs w:val="18"/>
              </w:rPr>
              <w:t>costs</w:t>
            </w:r>
          </w:p>
          <w:p w:rsidR="001C679A" w:rsidRPr="007E0792" w:rsidRDefault="001C679A" w:rsidP="00726E98">
            <w:pPr>
              <w:numPr>
                <w:ilvl w:val="0"/>
                <w:numId w:val="11"/>
              </w:numPr>
              <w:rPr>
                <w:sz w:val="18"/>
                <w:szCs w:val="18"/>
              </w:rPr>
            </w:pPr>
            <w:r w:rsidRPr="007E0792">
              <w:rPr>
                <w:sz w:val="18"/>
                <w:szCs w:val="18"/>
              </w:rPr>
              <w:t>uncertainties</w:t>
            </w:r>
          </w:p>
          <w:p w:rsidR="001C679A" w:rsidRPr="007E0792" w:rsidRDefault="001C679A" w:rsidP="00726E98">
            <w:pPr>
              <w:numPr>
                <w:ilvl w:val="0"/>
                <w:numId w:val="11"/>
              </w:numPr>
              <w:rPr>
                <w:sz w:val="18"/>
                <w:szCs w:val="18"/>
              </w:rPr>
            </w:pPr>
            <w:r w:rsidRPr="007E0792">
              <w:rPr>
                <w:sz w:val="18"/>
                <w:szCs w:val="18"/>
              </w:rPr>
              <w:t>applicability</w:t>
            </w:r>
          </w:p>
          <w:p w:rsidR="001C679A" w:rsidRPr="007E0792" w:rsidRDefault="001C679A" w:rsidP="00726E98">
            <w:pPr>
              <w:numPr>
                <w:ilvl w:val="0"/>
                <w:numId w:val="11"/>
              </w:numPr>
              <w:rPr>
                <w:sz w:val="18"/>
                <w:szCs w:val="18"/>
              </w:rPr>
            </w:pPr>
            <w:r w:rsidRPr="007E0792">
              <w:rPr>
                <w:sz w:val="18"/>
                <w:szCs w:val="18"/>
              </w:rPr>
              <w:t>satisfaction</w:t>
            </w:r>
          </w:p>
          <w:p w:rsidR="001C679A" w:rsidRPr="007E0792" w:rsidRDefault="001C679A" w:rsidP="00726E98">
            <w:pPr>
              <w:numPr>
                <w:ilvl w:val="0"/>
                <w:numId w:val="11"/>
              </w:numPr>
              <w:rPr>
                <w:sz w:val="18"/>
                <w:szCs w:val="18"/>
              </w:rPr>
            </w:pPr>
            <w:r w:rsidRPr="007E0792">
              <w:rPr>
                <w:sz w:val="18"/>
                <w:szCs w:val="18"/>
              </w:rPr>
              <w:t>clinical considerations (</w:t>
            </w:r>
            <w:proofErr w:type="spellStart"/>
            <w:r w:rsidRPr="007E0792">
              <w:rPr>
                <w:sz w:val="18"/>
                <w:szCs w:val="18"/>
              </w:rPr>
              <w:t>eg</w:t>
            </w:r>
            <w:proofErr w:type="spellEnd"/>
            <w:r w:rsidRPr="007E0792">
              <w:rPr>
                <w:sz w:val="18"/>
                <w:szCs w:val="18"/>
              </w:rPr>
              <w:t xml:space="preserve"> tolerability, ease of use, dependency, abuse potential)</w:t>
            </w:r>
          </w:p>
          <w:p w:rsidR="001C679A" w:rsidRPr="007E0792" w:rsidRDefault="001C679A" w:rsidP="00726E98">
            <w:pPr>
              <w:numPr>
                <w:ilvl w:val="0"/>
                <w:numId w:val="11"/>
              </w:numPr>
              <w:rPr>
                <w:sz w:val="18"/>
                <w:szCs w:val="18"/>
              </w:rPr>
            </w:pPr>
            <w:r w:rsidRPr="007E0792">
              <w:rPr>
                <w:sz w:val="18"/>
                <w:szCs w:val="18"/>
              </w:rPr>
              <w:t>unmet needs, special populations</w:t>
            </w:r>
          </w:p>
          <w:p w:rsidR="001C679A" w:rsidRPr="007E0792" w:rsidRDefault="001C679A" w:rsidP="00726E98">
            <w:pPr>
              <w:rPr>
                <w:sz w:val="18"/>
                <w:szCs w:val="18"/>
              </w:rPr>
            </w:pPr>
          </w:p>
          <w:p w:rsidR="001C679A" w:rsidRPr="007E0792" w:rsidRDefault="001C679A" w:rsidP="00726E98">
            <w:pPr>
              <w:rPr>
                <w:b/>
                <w:sz w:val="18"/>
                <w:szCs w:val="18"/>
              </w:rPr>
            </w:pPr>
            <w:r w:rsidRPr="007E0792">
              <w:rPr>
                <w:b/>
                <w:sz w:val="18"/>
                <w:szCs w:val="18"/>
              </w:rPr>
              <w:t>Other Considerations: Examples</w:t>
            </w:r>
          </w:p>
          <w:p w:rsidR="001C679A" w:rsidRPr="007E0792" w:rsidRDefault="001C679A" w:rsidP="00726E98">
            <w:pPr>
              <w:numPr>
                <w:ilvl w:val="0"/>
                <w:numId w:val="12"/>
              </w:numPr>
              <w:rPr>
                <w:sz w:val="18"/>
                <w:szCs w:val="18"/>
              </w:rPr>
            </w:pPr>
            <w:r w:rsidRPr="007E0792">
              <w:rPr>
                <w:sz w:val="18"/>
                <w:szCs w:val="18"/>
              </w:rPr>
              <w:t xml:space="preserve">accreditation issues </w:t>
            </w:r>
          </w:p>
          <w:p w:rsidR="001C679A" w:rsidRPr="007E0792" w:rsidRDefault="001C679A" w:rsidP="00726E98">
            <w:pPr>
              <w:numPr>
                <w:ilvl w:val="0"/>
                <w:numId w:val="12"/>
              </w:numPr>
              <w:rPr>
                <w:sz w:val="18"/>
                <w:szCs w:val="18"/>
              </w:rPr>
            </w:pPr>
            <w:r w:rsidRPr="007E0792">
              <w:rPr>
                <w:sz w:val="18"/>
                <w:szCs w:val="18"/>
              </w:rPr>
              <w:t xml:space="preserve">clinician perspective </w:t>
            </w:r>
          </w:p>
          <w:p w:rsidR="001C679A" w:rsidRPr="007E0792" w:rsidRDefault="001C679A" w:rsidP="00726E98">
            <w:pPr>
              <w:numPr>
                <w:ilvl w:val="0"/>
                <w:numId w:val="12"/>
              </w:numPr>
              <w:rPr>
                <w:sz w:val="18"/>
                <w:szCs w:val="18"/>
              </w:rPr>
            </w:pPr>
            <w:r w:rsidRPr="007E0792">
              <w:rPr>
                <w:sz w:val="18"/>
                <w:szCs w:val="18"/>
              </w:rPr>
              <w:t xml:space="preserve">community standards </w:t>
            </w:r>
          </w:p>
          <w:p w:rsidR="001C679A" w:rsidRPr="007E0792" w:rsidRDefault="001C679A" w:rsidP="00726E98">
            <w:pPr>
              <w:numPr>
                <w:ilvl w:val="0"/>
                <w:numId w:val="12"/>
              </w:numPr>
              <w:rPr>
                <w:sz w:val="18"/>
                <w:szCs w:val="18"/>
              </w:rPr>
            </w:pPr>
            <w:r w:rsidRPr="007E0792">
              <w:rPr>
                <w:sz w:val="18"/>
                <w:szCs w:val="18"/>
              </w:rPr>
              <w:t>ethical considerations</w:t>
            </w:r>
          </w:p>
          <w:p w:rsidR="001C679A" w:rsidRPr="007E0792" w:rsidRDefault="001C679A" w:rsidP="00726E98">
            <w:pPr>
              <w:numPr>
                <w:ilvl w:val="0"/>
                <w:numId w:val="12"/>
              </w:numPr>
              <w:rPr>
                <w:sz w:val="18"/>
                <w:szCs w:val="18"/>
              </w:rPr>
            </w:pPr>
            <w:r w:rsidRPr="007E0792">
              <w:rPr>
                <w:sz w:val="18"/>
                <w:szCs w:val="18"/>
              </w:rPr>
              <w:t xml:space="preserve">liability and risk management issues </w:t>
            </w:r>
          </w:p>
          <w:p w:rsidR="001C679A" w:rsidRPr="007E0792" w:rsidRDefault="001C679A" w:rsidP="00726E98">
            <w:pPr>
              <w:numPr>
                <w:ilvl w:val="0"/>
                <w:numId w:val="12"/>
              </w:numPr>
              <w:rPr>
                <w:sz w:val="18"/>
                <w:szCs w:val="18"/>
              </w:rPr>
            </w:pPr>
            <w:r w:rsidRPr="007E0792">
              <w:rPr>
                <w:sz w:val="18"/>
                <w:szCs w:val="18"/>
              </w:rPr>
              <w:t xml:space="preserve">marketing </w:t>
            </w:r>
          </w:p>
          <w:p w:rsidR="001C679A" w:rsidRPr="007E0792" w:rsidRDefault="001C679A" w:rsidP="00726E98">
            <w:pPr>
              <w:numPr>
                <w:ilvl w:val="0"/>
                <w:numId w:val="12"/>
              </w:numPr>
              <w:rPr>
                <w:sz w:val="18"/>
                <w:szCs w:val="18"/>
              </w:rPr>
            </w:pPr>
            <w:r w:rsidRPr="007E0792">
              <w:rPr>
                <w:sz w:val="18"/>
                <w:szCs w:val="18"/>
              </w:rPr>
              <w:t xml:space="preserve">media or press issues </w:t>
            </w:r>
          </w:p>
          <w:p w:rsidR="001C679A" w:rsidRPr="007E0792" w:rsidRDefault="001C679A" w:rsidP="00726E98">
            <w:pPr>
              <w:numPr>
                <w:ilvl w:val="0"/>
                <w:numId w:val="12"/>
              </w:numPr>
              <w:rPr>
                <w:sz w:val="18"/>
                <w:szCs w:val="18"/>
              </w:rPr>
            </w:pPr>
            <w:r w:rsidRPr="007E0792">
              <w:rPr>
                <w:sz w:val="18"/>
                <w:szCs w:val="18"/>
              </w:rPr>
              <w:t xml:space="preserve">medical community impacts </w:t>
            </w:r>
          </w:p>
          <w:p w:rsidR="001C679A" w:rsidRPr="007E0792" w:rsidRDefault="001C679A" w:rsidP="00726E98">
            <w:pPr>
              <w:numPr>
                <w:ilvl w:val="0"/>
                <w:numId w:val="12"/>
              </w:numPr>
              <w:rPr>
                <w:sz w:val="18"/>
                <w:szCs w:val="18"/>
              </w:rPr>
            </w:pPr>
            <w:r w:rsidRPr="007E0792">
              <w:rPr>
                <w:sz w:val="18"/>
                <w:szCs w:val="18"/>
              </w:rPr>
              <w:t xml:space="preserve">medical-legal </w:t>
            </w:r>
          </w:p>
          <w:p w:rsidR="001C679A" w:rsidRPr="007E0792" w:rsidRDefault="001C679A" w:rsidP="00726E98">
            <w:pPr>
              <w:numPr>
                <w:ilvl w:val="0"/>
                <w:numId w:val="12"/>
              </w:numPr>
              <w:rPr>
                <w:sz w:val="18"/>
                <w:szCs w:val="18"/>
              </w:rPr>
            </w:pPr>
            <w:r w:rsidRPr="007E0792">
              <w:rPr>
                <w:sz w:val="18"/>
                <w:szCs w:val="18"/>
              </w:rPr>
              <w:t xml:space="preserve">public relations </w:t>
            </w:r>
          </w:p>
          <w:p w:rsidR="001C679A" w:rsidRPr="007E0792" w:rsidRDefault="001C679A" w:rsidP="00726E98">
            <w:pPr>
              <w:numPr>
                <w:ilvl w:val="0"/>
                <w:numId w:val="12"/>
              </w:numPr>
              <w:rPr>
                <w:sz w:val="18"/>
                <w:szCs w:val="18"/>
              </w:rPr>
            </w:pPr>
            <w:r w:rsidRPr="007E0792">
              <w:rPr>
                <w:sz w:val="18"/>
                <w:szCs w:val="18"/>
              </w:rPr>
              <w:t xml:space="preserve">purchasing issues </w:t>
            </w:r>
          </w:p>
          <w:p w:rsidR="001C679A" w:rsidRPr="007E0792" w:rsidRDefault="001C679A" w:rsidP="00726E98">
            <w:pPr>
              <w:numPr>
                <w:ilvl w:val="0"/>
                <w:numId w:val="12"/>
              </w:numPr>
              <w:rPr>
                <w:sz w:val="18"/>
                <w:szCs w:val="18"/>
              </w:rPr>
            </w:pPr>
            <w:r w:rsidRPr="007E0792">
              <w:rPr>
                <w:sz w:val="18"/>
                <w:szCs w:val="18"/>
              </w:rPr>
              <w:t xml:space="preserve">regulatory </w:t>
            </w:r>
          </w:p>
          <w:p w:rsidR="001C679A" w:rsidRPr="007E0792" w:rsidRDefault="001C679A" w:rsidP="00726E98">
            <w:pPr>
              <w:numPr>
                <w:ilvl w:val="0"/>
                <w:numId w:val="12"/>
              </w:numPr>
              <w:rPr>
                <w:sz w:val="18"/>
                <w:szCs w:val="18"/>
              </w:rPr>
            </w:pPr>
            <w:proofErr w:type="gramStart"/>
            <w:r w:rsidRPr="007E0792">
              <w:rPr>
                <w:sz w:val="18"/>
                <w:szCs w:val="18"/>
              </w:rPr>
              <w:t>research</w:t>
            </w:r>
            <w:proofErr w:type="gramEnd"/>
            <w:r w:rsidRPr="007E0792">
              <w:rPr>
                <w:sz w:val="18"/>
                <w:szCs w:val="18"/>
              </w:rPr>
              <w:t xml:space="preserve"> realities (</w:t>
            </w:r>
            <w:proofErr w:type="spellStart"/>
            <w:r w:rsidRPr="007E0792">
              <w:rPr>
                <w:sz w:val="18"/>
                <w:szCs w:val="18"/>
              </w:rPr>
              <w:t>eg</w:t>
            </w:r>
            <w:proofErr w:type="spellEnd"/>
            <w:r w:rsidRPr="007E0792">
              <w:rPr>
                <w:sz w:val="18"/>
                <w:szCs w:val="18"/>
              </w:rPr>
              <w:t xml:space="preserve"> likelihood that no evidence will be able to answer clinical questions etc.) </w:t>
            </w:r>
          </w:p>
          <w:p w:rsidR="001C679A" w:rsidRPr="007E0792" w:rsidRDefault="001C679A" w:rsidP="00726E98">
            <w:pPr>
              <w:numPr>
                <w:ilvl w:val="0"/>
                <w:numId w:val="12"/>
              </w:numPr>
              <w:rPr>
                <w:sz w:val="18"/>
                <w:szCs w:val="18"/>
              </w:rPr>
            </w:pPr>
            <w:proofErr w:type="gramStart"/>
            <w:r w:rsidRPr="007E0792">
              <w:rPr>
                <w:sz w:val="18"/>
                <w:szCs w:val="18"/>
              </w:rPr>
              <w:t>utilization</w:t>
            </w:r>
            <w:proofErr w:type="gramEnd"/>
            <w:r w:rsidRPr="007E0792">
              <w:rPr>
                <w:sz w:val="18"/>
                <w:szCs w:val="18"/>
              </w:rPr>
              <w:t xml:space="preserve"> (</w:t>
            </w:r>
            <w:proofErr w:type="spellStart"/>
            <w:r w:rsidRPr="007E0792">
              <w:rPr>
                <w:sz w:val="18"/>
                <w:szCs w:val="18"/>
              </w:rPr>
              <w:t>eg</w:t>
            </w:r>
            <w:proofErr w:type="spellEnd"/>
            <w:r w:rsidRPr="007E0792">
              <w:rPr>
                <w:sz w:val="18"/>
                <w:szCs w:val="18"/>
              </w:rPr>
              <w:t xml:space="preserve"> impacts of provider change including demand do you have the capacity to support this change impact of substitution etc.)  </w:t>
            </w:r>
          </w:p>
          <w:p w:rsidR="001C679A" w:rsidRPr="007E0792" w:rsidRDefault="001C679A" w:rsidP="00726E98">
            <w:pPr>
              <w:numPr>
                <w:ilvl w:val="0"/>
                <w:numId w:val="12"/>
              </w:numPr>
              <w:rPr>
                <w:sz w:val="18"/>
                <w:szCs w:val="18"/>
              </w:rPr>
            </w:pPr>
            <w:r w:rsidRPr="007E0792">
              <w:rPr>
                <w:sz w:val="18"/>
                <w:szCs w:val="18"/>
              </w:rPr>
              <w:t>overall impact on the health care organization or entity</w:t>
            </w:r>
          </w:p>
          <w:p w:rsidR="001C679A" w:rsidRPr="007E0792" w:rsidRDefault="001C679A" w:rsidP="00726E98">
            <w:pPr>
              <w:rPr>
                <w:sz w:val="18"/>
                <w:szCs w:val="18"/>
              </w:rPr>
            </w:pPr>
          </w:p>
        </w:tc>
        <w:tc>
          <w:tcPr>
            <w:tcW w:w="4751" w:type="dxa"/>
          </w:tcPr>
          <w:p w:rsidR="001C679A" w:rsidRPr="007E0792" w:rsidRDefault="001C679A" w:rsidP="00726E98">
            <w:pPr>
              <w:rPr>
                <w:b/>
                <w:sz w:val="18"/>
                <w:szCs w:val="18"/>
              </w:rPr>
            </w:pPr>
            <w:r w:rsidRPr="007E0792">
              <w:rPr>
                <w:b/>
                <w:sz w:val="18"/>
                <w:szCs w:val="18"/>
              </w:rPr>
              <w:t>Project Key Questions</w:t>
            </w:r>
          </w:p>
          <w:p w:rsidR="001C679A" w:rsidRPr="007E0792" w:rsidRDefault="001C679A" w:rsidP="00726E98">
            <w:pPr>
              <w:rPr>
                <w:sz w:val="18"/>
                <w:szCs w:val="18"/>
              </w:rPr>
            </w:pPr>
            <w:r w:rsidRPr="007E0792">
              <w:rPr>
                <w:sz w:val="18"/>
                <w:szCs w:val="18"/>
              </w:rPr>
              <w:t xml:space="preserve">For women at risk of breast cancer based on presentation of with an abnormal mammogram; palpable breast abnormality; or relevant demographic and clinical risk factors: </w:t>
            </w:r>
          </w:p>
          <w:p w:rsidR="001C679A" w:rsidRPr="007E0792" w:rsidRDefault="001C679A" w:rsidP="00726E98">
            <w:pPr>
              <w:numPr>
                <w:ilvl w:val="0"/>
                <w:numId w:val="8"/>
              </w:numPr>
              <w:rPr>
                <w:sz w:val="18"/>
                <w:szCs w:val="18"/>
              </w:rPr>
            </w:pPr>
            <w:r w:rsidRPr="007E0792">
              <w:rPr>
                <w:sz w:val="18"/>
                <w:szCs w:val="18"/>
              </w:rPr>
              <w:t xml:space="preserve">What is the evidence that breast MRI has the ability to diagnose or exclude breast cancer in women at high risk compared to current tests including mammography?  </w:t>
            </w:r>
          </w:p>
          <w:p w:rsidR="001C679A" w:rsidRPr="007E0792" w:rsidRDefault="001C679A" w:rsidP="00726E98">
            <w:pPr>
              <w:numPr>
                <w:ilvl w:val="1"/>
                <w:numId w:val="8"/>
              </w:numPr>
              <w:rPr>
                <w:sz w:val="18"/>
                <w:szCs w:val="18"/>
              </w:rPr>
            </w:pPr>
            <w:r w:rsidRPr="007E0792">
              <w:rPr>
                <w:sz w:val="18"/>
                <w:szCs w:val="18"/>
              </w:rPr>
              <w:t xml:space="preserve">Describe sensitivity, specificity, and other key test characteristics  </w:t>
            </w:r>
          </w:p>
          <w:p w:rsidR="001C679A" w:rsidRPr="007E0792" w:rsidRDefault="001C679A" w:rsidP="00726E98">
            <w:pPr>
              <w:numPr>
                <w:ilvl w:val="0"/>
                <w:numId w:val="8"/>
              </w:numPr>
              <w:rPr>
                <w:sz w:val="18"/>
                <w:szCs w:val="18"/>
              </w:rPr>
            </w:pPr>
            <w:r w:rsidRPr="007E0792">
              <w:rPr>
                <w:sz w:val="18"/>
                <w:szCs w:val="18"/>
              </w:rPr>
              <w:t>What is the evidence that breast MRI improves health outcomes for patients with suspected or diagnosed breast cancer?  Including consideration of:</w:t>
            </w:r>
          </w:p>
          <w:p w:rsidR="001C679A" w:rsidRPr="007E0792" w:rsidRDefault="001C679A" w:rsidP="00726E98">
            <w:pPr>
              <w:numPr>
                <w:ilvl w:val="1"/>
                <w:numId w:val="8"/>
              </w:numPr>
              <w:rPr>
                <w:sz w:val="18"/>
                <w:szCs w:val="18"/>
              </w:rPr>
            </w:pPr>
            <w:r w:rsidRPr="007E0792">
              <w:rPr>
                <w:sz w:val="18"/>
                <w:szCs w:val="18"/>
              </w:rPr>
              <w:t>reduced need for other tests</w:t>
            </w:r>
          </w:p>
          <w:p w:rsidR="001C679A" w:rsidRPr="007E0792" w:rsidRDefault="001C679A" w:rsidP="00726E98">
            <w:pPr>
              <w:numPr>
                <w:ilvl w:val="1"/>
                <w:numId w:val="8"/>
              </w:numPr>
              <w:rPr>
                <w:sz w:val="18"/>
                <w:szCs w:val="18"/>
              </w:rPr>
            </w:pPr>
            <w:r w:rsidRPr="007E0792">
              <w:rPr>
                <w:sz w:val="18"/>
                <w:szCs w:val="18"/>
              </w:rPr>
              <w:t>more accurate diagnosis</w:t>
            </w:r>
          </w:p>
          <w:p w:rsidR="001C679A" w:rsidRPr="007E0792" w:rsidRDefault="001C679A" w:rsidP="00726E98">
            <w:pPr>
              <w:numPr>
                <w:ilvl w:val="1"/>
                <w:numId w:val="8"/>
              </w:numPr>
              <w:rPr>
                <w:sz w:val="18"/>
                <w:szCs w:val="18"/>
              </w:rPr>
            </w:pPr>
            <w:r w:rsidRPr="007E0792">
              <w:rPr>
                <w:sz w:val="18"/>
                <w:szCs w:val="18"/>
              </w:rPr>
              <w:t>change in treatment plan</w:t>
            </w:r>
          </w:p>
          <w:p w:rsidR="001C679A" w:rsidRPr="007E0792" w:rsidRDefault="001C679A" w:rsidP="00726E98">
            <w:pPr>
              <w:numPr>
                <w:ilvl w:val="1"/>
                <w:numId w:val="8"/>
              </w:numPr>
              <w:rPr>
                <w:sz w:val="18"/>
                <w:szCs w:val="18"/>
              </w:rPr>
            </w:pPr>
            <w:r w:rsidRPr="007E0792">
              <w:rPr>
                <w:sz w:val="18"/>
                <w:szCs w:val="18"/>
              </w:rPr>
              <w:t>reduced mortality and morbidity</w:t>
            </w:r>
          </w:p>
          <w:p w:rsidR="001C679A" w:rsidRPr="007E0792" w:rsidRDefault="001C679A" w:rsidP="00726E98">
            <w:pPr>
              <w:numPr>
                <w:ilvl w:val="0"/>
                <w:numId w:val="8"/>
              </w:numPr>
              <w:rPr>
                <w:sz w:val="18"/>
                <w:szCs w:val="18"/>
              </w:rPr>
            </w:pPr>
            <w:r w:rsidRPr="007E0792">
              <w:rPr>
                <w:sz w:val="18"/>
                <w:szCs w:val="18"/>
              </w:rPr>
              <w:t>What is the evidence of the safety of breast MRI in this population?</w:t>
            </w:r>
          </w:p>
          <w:p w:rsidR="001C679A" w:rsidRPr="007E0792" w:rsidRDefault="001C679A" w:rsidP="00726E98">
            <w:pPr>
              <w:numPr>
                <w:ilvl w:val="0"/>
                <w:numId w:val="8"/>
              </w:numPr>
              <w:rPr>
                <w:sz w:val="18"/>
                <w:szCs w:val="18"/>
              </w:rPr>
            </w:pPr>
            <w:r w:rsidRPr="007E0792">
              <w:rPr>
                <w:sz w:val="18"/>
                <w:szCs w:val="18"/>
              </w:rPr>
              <w:t xml:space="preserve">What is the evidence that breast MRI has differential efficacy or safety issues in subpopulations?  Including consideration of: </w:t>
            </w:r>
          </w:p>
          <w:p w:rsidR="001C679A" w:rsidRPr="007E0792" w:rsidRDefault="001C679A" w:rsidP="00726E98">
            <w:pPr>
              <w:numPr>
                <w:ilvl w:val="1"/>
                <w:numId w:val="8"/>
              </w:numPr>
              <w:rPr>
                <w:sz w:val="18"/>
                <w:szCs w:val="18"/>
              </w:rPr>
            </w:pPr>
            <w:r w:rsidRPr="007E0792">
              <w:rPr>
                <w:sz w:val="18"/>
                <w:szCs w:val="18"/>
              </w:rPr>
              <w:t xml:space="preserve">Age, breast tissue characteristics; breast implants </w:t>
            </w:r>
          </w:p>
          <w:p w:rsidR="001C679A" w:rsidRPr="007E0792" w:rsidRDefault="001C679A" w:rsidP="00726E98">
            <w:pPr>
              <w:numPr>
                <w:ilvl w:val="1"/>
                <w:numId w:val="8"/>
              </w:numPr>
              <w:rPr>
                <w:sz w:val="18"/>
                <w:szCs w:val="18"/>
              </w:rPr>
            </w:pPr>
            <w:r w:rsidRPr="007E0792">
              <w:rPr>
                <w:sz w:val="18"/>
                <w:szCs w:val="18"/>
              </w:rPr>
              <w:t>Other patient characteristics or evidence of appropriate patient selection criteria</w:t>
            </w:r>
          </w:p>
          <w:p w:rsidR="001C679A" w:rsidRPr="007E0792" w:rsidRDefault="001C679A" w:rsidP="00726E98">
            <w:pPr>
              <w:numPr>
                <w:ilvl w:val="1"/>
                <w:numId w:val="8"/>
              </w:numPr>
              <w:rPr>
                <w:sz w:val="18"/>
                <w:szCs w:val="18"/>
              </w:rPr>
            </w:pPr>
            <w:r w:rsidRPr="007E0792">
              <w:rPr>
                <w:sz w:val="18"/>
                <w:szCs w:val="18"/>
              </w:rPr>
              <w:t>Type of scanning machine and software, reader training, and other operational factors</w:t>
            </w:r>
          </w:p>
          <w:p w:rsidR="001C679A" w:rsidRPr="007E0792" w:rsidRDefault="001C679A" w:rsidP="00726E98">
            <w:pPr>
              <w:numPr>
                <w:ilvl w:val="1"/>
                <w:numId w:val="8"/>
              </w:numPr>
              <w:rPr>
                <w:sz w:val="18"/>
                <w:szCs w:val="18"/>
              </w:rPr>
            </w:pPr>
            <w:r w:rsidRPr="007E0792">
              <w:rPr>
                <w:sz w:val="18"/>
                <w:szCs w:val="18"/>
              </w:rPr>
              <w:t xml:space="preserve">Provider type, setting or other provider characteristics </w:t>
            </w:r>
          </w:p>
          <w:p w:rsidR="001C679A" w:rsidRPr="007E0792" w:rsidRDefault="001C679A" w:rsidP="00726E98">
            <w:pPr>
              <w:numPr>
                <w:ilvl w:val="1"/>
                <w:numId w:val="8"/>
              </w:numPr>
              <w:rPr>
                <w:sz w:val="18"/>
                <w:szCs w:val="18"/>
              </w:rPr>
            </w:pPr>
            <w:r w:rsidRPr="007E0792">
              <w:rPr>
                <w:sz w:val="18"/>
                <w:szCs w:val="18"/>
              </w:rPr>
              <w:t>Health care system type, including worker’s compensation, Medicaid, state employees</w:t>
            </w:r>
          </w:p>
          <w:p w:rsidR="001C679A" w:rsidRPr="007E0792" w:rsidRDefault="001C679A" w:rsidP="00726E98">
            <w:pPr>
              <w:numPr>
                <w:ilvl w:val="0"/>
                <w:numId w:val="8"/>
              </w:numPr>
              <w:rPr>
                <w:sz w:val="18"/>
                <w:szCs w:val="18"/>
              </w:rPr>
            </w:pPr>
            <w:r w:rsidRPr="007E0792">
              <w:rPr>
                <w:sz w:val="18"/>
                <w:szCs w:val="18"/>
              </w:rPr>
              <w:t>What is the evidence about the cost implications and cost effectiveness of breast MRI?</w:t>
            </w:r>
          </w:p>
        </w:tc>
      </w:tr>
    </w:tbl>
    <w:p w:rsidR="001C679A" w:rsidRPr="007E0792" w:rsidRDefault="001C679A" w:rsidP="001C679A">
      <w:pPr>
        <w:rPr>
          <w:b/>
          <w:sz w:val="18"/>
          <w:szCs w:val="18"/>
        </w:rPr>
      </w:pPr>
    </w:p>
    <w:tbl>
      <w:tblPr>
        <w:tblW w:w="1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757"/>
        <w:gridCol w:w="4004"/>
        <w:gridCol w:w="1195"/>
        <w:gridCol w:w="1475"/>
        <w:gridCol w:w="1440"/>
      </w:tblGrid>
      <w:tr w:rsidR="001C679A" w:rsidRPr="007E0792" w:rsidTr="00431229">
        <w:trPr>
          <w:cantSplit/>
          <w:trHeight w:val="470"/>
        </w:trPr>
        <w:tc>
          <w:tcPr>
            <w:tcW w:w="2952" w:type="dxa"/>
            <w:shd w:val="clear" w:color="auto" w:fill="CCCCCC"/>
            <w:vAlign w:val="center"/>
          </w:tcPr>
          <w:p w:rsidR="001C679A" w:rsidRPr="007E0792" w:rsidRDefault="001C679A" w:rsidP="00726E98">
            <w:pPr>
              <w:jc w:val="center"/>
              <w:rPr>
                <w:sz w:val="18"/>
                <w:szCs w:val="18"/>
              </w:rPr>
            </w:pPr>
            <w:r w:rsidRPr="007E0792">
              <w:rPr>
                <w:b/>
                <w:sz w:val="18"/>
                <w:szCs w:val="18"/>
              </w:rPr>
              <w:t>Criteria, Considerations, Comparisons &amp; Examples to Inform Decisions &amp; Judgments</w:t>
            </w:r>
          </w:p>
        </w:tc>
        <w:tc>
          <w:tcPr>
            <w:tcW w:w="2757" w:type="dxa"/>
            <w:vAlign w:val="center"/>
          </w:tcPr>
          <w:p w:rsidR="001C679A" w:rsidRPr="007E0792" w:rsidRDefault="001C679A" w:rsidP="00726E98">
            <w:pPr>
              <w:jc w:val="center"/>
              <w:rPr>
                <w:sz w:val="18"/>
                <w:szCs w:val="18"/>
              </w:rPr>
            </w:pPr>
            <w:r w:rsidRPr="007E0792">
              <w:rPr>
                <w:b/>
                <w:sz w:val="18"/>
                <w:szCs w:val="18"/>
              </w:rPr>
              <w:t>Questions: What is the level of confidence that…</w:t>
            </w:r>
          </w:p>
        </w:tc>
        <w:tc>
          <w:tcPr>
            <w:tcW w:w="4004" w:type="dxa"/>
            <w:vAlign w:val="center"/>
          </w:tcPr>
          <w:p w:rsidR="001C679A" w:rsidRPr="007E0792" w:rsidRDefault="001C679A" w:rsidP="00726E98">
            <w:pPr>
              <w:jc w:val="center"/>
              <w:rPr>
                <w:b/>
                <w:sz w:val="18"/>
                <w:szCs w:val="18"/>
              </w:rPr>
            </w:pPr>
            <w:r w:rsidRPr="007E0792">
              <w:rPr>
                <w:b/>
                <w:sz w:val="18"/>
                <w:szCs w:val="18"/>
              </w:rPr>
              <w:t>Outcome</w:t>
            </w:r>
          </w:p>
        </w:tc>
        <w:tc>
          <w:tcPr>
            <w:tcW w:w="1195" w:type="dxa"/>
            <w:shd w:val="clear" w:color="auto" w:fill="E0E0E0"/>
          </w:tcPr>
          <w:p w:rsidR="001C679A" w:rsidRPr="007E0792" w:rsidRDefault="001C679A" w:rsidP="00726E98">
            <w:pPr>
              <w:jc w:val="center"/>
              <w:rPr>
                <w:b/>
                <w:sz w:val="18"/>
                <w:szCs w:val="18"/>
              </w:rPr>
            </w:pPr>
            <w:r w:rsidRPr="007E0792">
              <w:rPr>
                <w:b/>
                <w:sz w:val="18"/>
                <w:szCs w:val="18"/>
              </w:rPr>
              <w:t>Level of</w:t>
            </w:r>
          </w:p>
          <w:p w:rsidR="001C679A" w:rsidRPr="007E0792" w:rsidRDefault="001C679A" w:rsidP="00726E98">
            <w:pPr>
              <w:jc w:val="center"/>
              <w:rPr>
                <w:b/>
                <w:sz w:val="18"/>
                <w:szCs w:val="18"/>
              </w:rPr>
            </w:pPr>
            <w:r w:rsidRPr="007E0792">
              <w:rPr>
                <w:b/>
                <w:sz w:val="18"/>
                <w:szCs w:val="18"/>
              </w:rPr>
              <w:t>Confidence</w:t>
            </w:r>
          </w:p>
        </w:tc>
        <w:tc>
          <w:tcPr>
            <w:tcW w:w="1475" w:type="dxa"/>
            <w:shd w:val="clear" w:color="auto" w:fill="auto"/>
            <w:vAlign w:val="center"/>
          </w:tcPr>
          <w:p w:rsidR="001C679A" w:rsidRPr="007E0792" w:rsidRDefault="001C679A" w:rsidP="00726E98">
            <w:pPr>
              <w:jc w:val="center"/>
              <w:rPr>
                <w:b/>
                <w:sz w:val="18"/>
                <w:szCs w:val="18"/>
              </w:rPr>
            </w:pPr>
            <w:r w:rsidRPr="007E0792">
              <w:rPr>
                <w:b/>
                <w:sz w:val="18"/>
                <w:szCs w:val="18"/>
              </w:rPr>
              <w:t>Other Considerations</w:t>
            </w:r>
            <w:r w:rsidRPr="007E0792">
              <w:rPr>
                <w:b/>
                <w:sz w:val="18"/>
                <w:szCs w:val="18"/>
              </w:rPr>
              <w:br/>
              <w:t>(</w:t>
            </w:r>
            <w:proofErr w:type="spellStart"/>
            <w:r w:rsidRPr="007E0792">
              <w:rPr>
                <w:b/>
                <w:sz w:val="18"/>
                <w:szCs w:val="18"/>
              </w:rPr>
              <w:t>eg</w:t>
            </w:r>
            <w:proofErr w:type="spellEnd"/>
            <w:r w:rsidRPr="007E0792">
              <w:rPr>
                <w:b/>
                <w:sz w:val="18"/>
                <w:szCs w:val="18"/>
              </w:rPr>
              <w:t>, clinical significance)</w:t>
            </w:r>
          </w:p>
        </w:tc>
        <w:tc>
          <w:tcPr>
            <w:tcW w:w="1440" w:type="dxa"/>
            <w:shd w:val="clear" w:color="auto" w:fill="auto"/>
            <w:vAlign w:val="center"/>
          </w:tcPr>
          <w:p w:rsidR="001C679A" w:rsidRPr="007E0792" w:rsidRDefault="001C679A" w:rsidP="00726E98">
            <w:pPr>
              <w:jc w:val="center"/>
              <w:rPr>
                <w:b/>
                <w:sz w:val="18"/>
                <w:szCs w:val="18"/>
              </w:rPr>
            </w:pPr>
            <w:r w:rsidRPr="007E0792">
              <w:rPr>
                <w:b/>
                <w:sz w:val="18"/>
                <w:szCs w:val="18"/>
              </w:rPr>
              <w:t>Your Judgment</w:t>
            </w:r>
          </w:p>
          <w:p w:rsidR="001C679A" w:rsidRPr="007E0792" w:rsidRDefault="001C679A" w:rsidP="00726E98">
            <w:pPr>
              <w:jc w:val="center"/>
              <w:rPr>
                <w:b/>
                <w:sz w:val="18"/>
                <w:szCs w:val="18"/>
              </w:rPr>
            </w:pPr>
            <w:r w:rsidRPr="007E0792">
              <w:rPr>
                <w:b/>
                <w:sz w:val="18"/>
                <w:szCs w:val="18"/>
              </w:rPr>
              <w:t>“Worksheet”</w:t>
            </w:r>
          </w:p>
        </w:tc>
      </w:tr>
      <w:tr w:rsidR="001C679A" w:rsidRPr="007E0792" w:rsidTr="00431229">
        <w:trPr>
          <w:cantSplit/>
          <w:trHeight w:val="247"/>
        </w:trPr>
        <w:tc>
          <w:tcPr>
            <w:tcW w:w="2952" w:type="dxa"/>
            <w:vMerge w:val="restart"/>
            <w:shd w:val="clear" w:color="auto" w:fill="CCCCCC"/>
          </w:tcPr>
          <w:p w:rsidR="001C679A" w:rsidRPr="007E0792" w:rsidRDefault="001C679A" w:rsidP="00726E98">
            <w:pPr>
              <w:rPr>
                <w:sz w:val="18"/>
                <w:szCs w:val="18"/>
              </w:rPr>
            </w:pPr>
            <w:r w:rsidRPr="007E0792">
              <w:rPr>
                <w:sz w:val="18"/>
                <w:szCs w:val="18"/>
              </w:rPr>
              <w:t>Likelihood of Outcomes</w:t>
            </w:r>
          </w:p>
          <w:p w:rsidR="001C679A" w:rsidRPr="007E0792" w:rsidRDefault="001C679A" w:rsidP="00726E98">
            <w:pPr>
              <w:rPr>
                <w:sz w:val="18"/>
                <w:szCs w:val="18"/>
              </w:rPr>
            </w:pPr>
            <w:r w:rsidRPr="007E0792">
              <w:rPr>
                <w:sz w:val="18"/>
                <w:szCs w:val="18"/>
              </w:rPr>
              <w:t xml:space="preserve">(See above for considerations for Clinical Significance)  </w:t>
            </w:r>
          </w:p>
        </w:tc>
        <w:tc>
          <w:tcPr>
            <w:tcW w:w="2757" w:type="dxa"/>
            <w:vMerge w:val="restart"/>
          </w:tcPr>
          <w:p w:rsidR="001C679A" w:rsidRPr="007E0792" w:rsidRDefault="001C679A" w:rsidP="00726E98">
            <w:pPr>
              <w:numPr>
                <w:ilvl w:val="0"/>
                <w:numId w:val="10"/>
              </w:numPr>
              <w:rPr>
                <w:sz w:val="18"/>
                <w:szCs w:val="18"/>
              </w:rPr>
            </w:pPr>
            <w:r w:rsidRPr="007E0792">
              <w:rPr>
                <w:sz w:val="18"/>
                <w:szCs w:val="18"/>
              </w:rPr>
              <w:t xml:space="preserve"> </w:t>
            </w:r>
            <w:proofErr w:type="gramStart"/>
            <w:r w:rsidRPr="007E0792">
              <w:rPr>
                <w:sz w:val="18"/>
                <w:szCs w:val="18"/>
              </w:rPr>
              <w:t>these</w:t>
            </w:r>
            <w:proofErr w:type="gramEnd"/>
            <w:r w:rsidRPr="007E0792">
              <w:rPr>
                <w:sz w:val="18"/>
                <w:szCs w:val="18"/>
              </w:rPr>
              <w:t xml:space="preserve"> outcomes will be achieved, realized or experienced?</w:t>
            </w:r>
          </w:p>
        </w:tc>
        <w:tc>
          <w:tcPr>
            <w:tcW w:w="4004" w:type="dxa"/>
          </w:tcPr>
          <w:p w:rsidR="001C679A" w:rsidRPr="007E0792" w:rsidRDefault="001C679A" w:rsidP="00726E98">
            <w:pPr>
              <w:rPr>
                <w:sz w:val="18"/>
                <w:szCs w:val="18"/>
              </w:rPr>
            </w:pPr>
            <w:r w:rsidRPr="007E0792">
              <w:rPr>
                <w:sz w:val="18"/>
                <w:szCs w:val="18"/>
              </w:rPr>
              <w:t>Increased detection of breast cancer</w:t>
            </w:r>
          </w:p>
        </w:tc>
        <w:tc>
          <w:tcPr>
            <w:tcW w:w="1195" w:type="dxa"/>
            <w:shd w:val="clear" w:color="auto" w:fill="00FF00"/>
          </w:tcPr>
          <w:p w:rsidR="001C679A" w:rsidRPr="002D3E29" w:rsidRDefault="001C679A" w:rsidP="00726E98">
            <w:pPr>
              <w:jc w:val="center"/>
              <w:rPr>
                <w:b/>
                <w:sz w:val="18"/>
                <w:szCs w:val="18"/>
              </w:rPr>
            </w:pPr>
            <w:r w:rsidRPr="002D3E29">
              <w:rPr>
                <w:b/>
                <w:sz w:val="18"/>
                <w:szCs w:val="18"/>
              </w:rPr>
              <w:t>HIGH</w:t>
            </w:r>
          </w:p>
        </w:tc>
        <w:tc>
          <w:tcPr>
            <w:tcW w:w="1475" w:type="dxa"/>
            <w:shd w:val="clear" w:color="auto" w:fill="auto"/>
          </w:tcPr>
          <w:p w:rsidR="001C679A" w:rsidRPr="007E0792" w:rsidRDefault="001C679A" w:rsidP="00726E98">
            <w:pPr>
              <w:rPr>
                <w:b/>
                <w:sz w:val="18"/>
                <w:szCs w:val="18"/>
              </w:rPr>
            </w:pPr>
          </w:p>
        </w:tc>
        <w:tc>
          <w:tcPr>
            <w:tcW w:w="1440" w:type="dxa"/>
          </w:tcPr>
          <w:p w:rsidR="001C679A" w:rsidRPr="007E0792" w:rsidRDefault="001C679A" w:rsidP="00726E98">
            <w:pPr>
              <w:rPr>
                <w:b/>
                <w:sz w:val="18"/>
                <w:szCs w:val="18"/>
              </w:rPr>
            </w:pPr>
          </w:p>
        </w:tc>
      </w:tr>
      <w:tr w:rsidR="001C679A" w:rsidRPr="007E0792" w:rsidTr="00431229">
        <w:trPr>
          <w:cantSplit/>
          <w:trHeight w:val="63"/>
        </w:trPr>
        <w:tc>
          <w:tcPr>
            <w:tcW w:w="2952" w:type="dxa"/>
            <w:vMerge/>
            <w:shd w:val="clear" w:color="auto" w:fill="CCCCCC"/>
          </w:tcPr>
          <w:p w:rsidR="001C679A" w:rsidRPr="007E0792" w:rsidRDefault="001C679A" w:rsidP="00726E98">
            <w:pPr>
              <w:rPr>
                <w:sz w:val="18"/>
                <w:szCs w:val="18"/>
              </w:rPr>
            </w:pPr>
          </w:p>
        </w:tc>
        <w:tc>
          <w:tcPr>
            <w:tcW w:w="2757" w:type="dxa"/>
            <w:vMerge/>
          </w:tcPr>
          <w:p w:rsidR="001C679A" w:rsidRPr="007E0792" w:rsidRDefault="001C679A" w:rsidP="00726E98">
            <w:pPr>
              <w:numPr>
                <w:ilvl w:val="0"/>
                <w:numId w:val="10"/>
              </w:numPr>
              <w:rPr>
                <w:sz w:val="18"/>
                <w:szCs w:val="18"/>
              </w:rPr>
            </w:pPr>
          </w:p>
        </w:tc>
        <w:tc>
          <w:tcPr>
            <w:tcW w:w="4004" w:type="dxa"/>
          </w:tcPr>
          <w:p w:rsidR="001C679A" w:rsidRPr="007E0792" w:rsidRDefault="001C679A" w:rsidP="00726E98">
            <w:pPr>
              <w:rPr>
                <w:sz w:val="18"/>
                <w:szCs w:val="18"/>
              </w:rPr>
            </w:pPr>
            <w:r w:rsidRPr="007E0792">
              <w:rPr>
                <w:sz w:val="18"/>
                <w:szCs w:val="18"/>
              </w:rPr>
              <w:t>Decreased need for other tests</w:t>
            </w:r>
          </w:p>
        </w:tc>
        <w:tc>
          <w:tcPr>
            <w:tcW w:w="1195" w:type="dxa"/>
            <w:shd w:val="clear" w:color="auto" w:fill="FABF8F" w:themeFill="accent6" w:themeFillTint="99"/>
          </w:tcPr>
          <w:p w:rsidR="001C679A" w:rsidRPr="002D3E29" w:rsidRDefault="001C679A" w:rsidP="00726E98">
            <w:pPr>
              <w:jc w:val="center"/>
              <w:rPr>
                <w:b/>
                <w:sz w:val="18"/>
                <w:szCs w:val="18"/>
              </w:rPr>
            </w:pPr>
            <w:r w:rsidRPr="002D3E29">
              <w:rPr>
                <w:b/>
                <w:sz w:val="18"/>
                <w:szCs w:val="18"/>
              </w:rPr>
              <w:t>LOW</w:t>
            </w:r>
          </w:p>
        </w:tc>
        <w:tc>
          <w:tcPr>
            <w:tcW w:w="1475" w:type="dxa"/>
            <w:shd w:val="clear" w:color="auto" w:fill="auto"/>
          </w:tcPr>
          <w:p w:rsidR="001C679A" w:rsidRPr="007E0792" w:rsidRDefault="001C679A" w:rsidP="00726E98">
            <w:pPr>
              <w:rPr>
                <w:b/>
                <w:sz w:val="18"/>
                <w:szCs w:val="18"/>
              </w:rPr>
            </w:pPr>
          </w:p>
        </w:tc>
        <w:tc>
          <w:tcPr>
            <w:tcW w:w="1440" w:type="dxa"/>
          </w:tcPr>
          <w:p w:rsidR="001C679A" w:rsidRPr="007E0792" w:rsidRDefault="001C679A" w:rsidP="00726E98">
            <w:pPr>
              <w:rPr>
                <w:b/>
                <w:sz w:val="18"/>
                <w:szCs w:val="18"/>
              </w:rPr>
            </w:pPr>
          </w:p>
        </w:tc>
      </w:tr>
      <w:tr w:rsidR="001C679A" w:rsidRPr="007E0792" w:rsidTr="00431229">
        <w:trPr>
          <w:cantSplit/>
          <w:trHeight w:val="69"/>
        </w:trPr>
        <w:tc>
          <w:tcPr>
            <w:tcW w:w="2952" w:type="dxa"/>
            <w:vMerge/>
            <w:shd w:val="clear" w:color="auto" w:fill="CCCCCC"/>
          </w:tcPr>
          <w:p w:rsidR="001C679A" w:rsidRPr="007E0792" w:rsidRDefault="001C679A" w:rsidP="00726E98">
            <w:pPr>
              <w:rPr>
                <w:sz w:val="18"/>
                <w:szCs w:val="18"/>
              </w:rPr>
            </w:pPr>
          </w:p>
        </w:tc>
        <w:tc>
          <w:tcPr>
            <w:tcW w:w="2757" w:type="dxa"/>
            <w:vMerge/>
          </w:tcPr>
          <w:p w:rsidR="001C679A" w:rsidRPr="007E0792" w:rsidRDefault="001C679A" w:rsidP="00726E98">
            <w:pPr>
              <w:numPr>
                <w:ilvl w:val="0"/>
                <w:numId w:val="10"/>
              </w:numPr>
              <w:rPr>
                <w:sz w:val="18"/>
                <w:szCs w:val="18"/>
              </w:rPr>
            </w:pPr>
          </w:p>
        </w:tc>
        <w:tc>
          <w:tcPr>
            <w:tcW w:w="4004" w:type="dxa"/>
          </w:tcPr>
          <w:p w:rsidR="001C679A" w:rsidRPr="007E0792" w:rsidRDefault="001C679A" w:rsidP="00726E98">
            <w:pPr>
              <w:rPr>
                <w:sz w:val="18"/>
                <w:szCs w:val="18"/>
              </w:rPr>
            </w:pPr>
            <w:r w:rsidRPr="007E0792">
              <w:rPr>
                <w:sz w:val="18"/>
                <w:szCs w:val="18"/>
              </w:rPr>
              <w:t>Changes in treatment plans (e.g., wider excisions, more mastectomies, unnecessary mastectomies)</w:t>
            </w:r>
          </w:p>
        </w:tc>
        <w:tc>
          <w:tcPr>
            <w:tcW w:w="1195" w:type="dxa"/>
            <w:shd w:val="clear" w:color="auto" w:fill="00FF00"/>
          </w:tcPr>
          <w:p w:rsidR="001C679A" w:rsidRPr="002D3E29" w:rsidRDefault="001C679A" w:rsidP="00726E98">
            <w:pPr>
              <w:jc w:val="center"/>
              <w:rPr>
                <w:b/>
                <w:sz w:val="18"/>
                <w:szCs w:val="18"/>
              </w:rPr>
            </w:pPr>
            <w:r>
              <w:rPr>
                <w:b/>
                <w:sz w:val="18"/>
                <w:szCs w:val="18"/>
              </w:rPr>
              <w:t>HIGH</w:t>
            </w:r>
          </w:p>
        </w:tc>
        <w:tc>
          <w:tcPr>
            <w:tcW w:w="1475" w:type="dxa"/>
            <w:shd w:val="clear" w:color="auto" w:fill="auto"/>
          </w:tcPr>
          <w:p w:rsidR="001C679A" w:rsidRPr="007E0792" w:rsidRDefault="001C679A" w:rsidP="00726E98">
            <w:pPr>
              <w:rPr>
                <w:b/>
                <w:sz w:val="18"/>
                <w:szCs w:val="18"/>
              </w:rPr>
            </w:pPr>
          </w:p>
        </w:tc>
        <w:tc>
          <w:tcPr>
            <w:tcW w:w="1440" w:type="dxa"/>
          </w:tcPr>
          <w:p w:rsidR="001C679A" w:rsidRPr="007E0792" w:rsidRDefault="001C679A" w:rsidP="00726E98">
            <w:pPr>
              <w:rPr>
                <w:b/>
                <w:sz w:val="18"/>
                <w:szCs w:val="18"/>
              </w:rPr>
            </w:pPr>
          </w:p>
        </w:tc>
      </w:tr>
      <w:tr w:rsidR="001C679A" w:rsidRPr="007E0792" w:rsidTr="00431229">
        <w:trPr>
          <w:cantSplit/>
          <w:trHeight w:val="134"/>
        </w:trPr>
        <w:tc>
          <w:tcPr>
            <w:tcW w:w="2952" w:type="dxa"/>
            <w:vMerge/>
            <w:shd w:val="clear" w:color="auto" w:fill="CCCCCC"/>
          </w:tcPr>
          <w:p w:rsidR="001C679A" w:rsidRPr="007E0792" w:rsidRDefault="001C679A" w:rsidP="00726E98">
            <w:pPr>
              <w:rPr>
                <w:sz w:val="18"/>
                <w:szCs w:val="18"/>
              </w:rPr>
            </w:pPr>
          </w:p>
        </w:tc>
        <w:tc>
          <w:tcPr>
            <w:tcW w:w="2757" w:type="dxa"/>
            <w:vMerge/>
          </w:tcPr>
          <w:p w:rsidR="001C679A" w:rsidRPr="007E0792" w:rsidRDefault="001C679A" w:rsidP="00726E98">
            <w:pPr>
              <w:numPr>
                <w:ilvl w:val="0"/>
                <w:numId w:val="10"/>
              </w:numPr>
              <w:rPr>
                <w:sz w:val="18"/>
                <w:szCs w:val="18"/>
              </w:rPr>
            </w:pPr>
          </w:p>
        </w:tc>
        <w:tc>
          <w:tcPr>
            <w:tcW w:w="4004" w:type="dxa"/>
          </w:tcPr>
          <w:p w:rsidR="001C679A" w:rsidRPr="007E0792" w:rsidRDefault="001C679A" w:rsidP="00726E98">
            <w:pPr>
              <w:rPr>
                <w:sz w:val="18"/>
                <w:szCs w:val="18"/>
              </w:rPr>
            </w:pPr>
            <w:r w:rsidRPr="007E0792">
              <w:rPr>
                <w:sz w:val="18"/>
                <w:szCs w:val="18"/>
              </w:rPr>
              <w:t>Decreased re-excision rates</w:t>
            </w:r>
          </w:p>
        </w:tc>
        <w:tc>
          <w:tcPr>
            <w:tcW w:w="1195" w:type="dxa"/>
            <w:shd w:val="clear" w:color="auto" w:fill="FABF8F" w:themeFill="accent6" w:themeFillTint="99"/>
          </w:tcPr>
          <w:p w:rsidR="001C679A" w:rsidRPr="00C83BEF" w:rsidRDefault="001C679A" w:rsidP="00726E98">
            <w:pPr>
              <w:jc w:val="center"/>
              <w:rPr>
                <w:sz w:val="18"/>
                <w:szCs w:val="18"/>
              </w:rPr>
            </w:pPr>
            <w:r w:rsidRPr="002D3E29">
              <w:rPr>
                <w:b/>
                <w:sz w:val="18"/>
                <w:szCs w:val="18"/>
              </w:rPr>
              <w:t>LOW</w:t>
            </w:r>
          </w:p>
        </w:tc>
        <w:tc>
          <w:tcPr>
            <w:tcW w:w="1475" w:type="dxa"/>
            <w:shd w:val="clear" w:color="auto" w:fill="auto"/>
          </w:tcPr>
          <w:p w:rsidR="001C679A" w:rsidRPr="007E0792" w:rsidRDefault="001C679A" w:rsidP="00726E98">
            <w:pPr>
              <w:rPr>
                <w:sz w:val="18"/>
                <w:szCs w:val="18"/>
              </w:rPr>
            </w:pPr>
          </w:p>
        </w:tc>
        <w:tc>
          <w:tcPr>
            <w:tcW w:w="1440" w:type="dxa"/>
          </w:tcPr>
          <w:p w:rsidR="001C679A" w:rsidRPr="007E0792" w:rsidRDefault="001C679A" w:rsidP="00726E98">
            <w:pPr>
              <w:rPr>
                <w:sz w:val="18"/>
                <w:szCs w:val="18"/>
              </w:rPr>
            </w:pPr>
          </w:p>
        </w:tc>
      </w:tr>
      <w:tr w:rsidR="001C679A" w:rsidRPr="007E0792" w:rsidTr="00431229">
        <w:trPr>
          <w:cantSplit/>
          <w:trHeight w:val="199"/>
        </w:trPr>
        <w:tc>
          <w:tcPr>
            <w:tcW w:w="2952" w:type="dxa"/>
            <w:vMerge/>
            <w:shd w:val="clear" w:color="auto" w:fill="CCCCCC"/>
          </w:tcPr>
          <w:p w:rsidR="001C679A" w:rsidRPr="007E0792" w:rsidRDefault="001C679A" w:rsidP="00726E98">
            <w:pPr>
              <w:rPr>
                <w:sz w:val="18"/>
                <w:szCs w:val="18"/>
              </w:rPr>
            </w:pPr>
          </w:p>
        </w:tc>
        <w:tc>
          <w:tcPr>
            <w:tcW w:w="2757" w:type="dxa"/>
            <w:vMerge/>
          </w:tcPr>
          <w:p w:rsidR="001C679A" w:rsidRPr="007E0792" w:rsidRDefault="001C679A" w:rsidP="00726E98">
            <w:pPr>
              <w:numPr>
                <w:ilvl w:val="0"/>
                <w:numId w:val="10"/>
              </w:numPr>
              <w:rPr>
                <w:sz w:val="18"/>
                <w:szCs w:val="18"/>
              </w:rPr>
            </w:pPr>
          </w:p>
        </w:tc>
        <w:tc>
          <w:tcPr>
            <w:tcW w:w="4004" w:type="dxa"/>
          </w:tcPr>
          <w:p w:rsidR="001C679A" w:rsidRPr="007E0792" w:rsidRDefault="001C679A" w:rsidP="00726E98">
            <w:pPr>
              <w:rPr>
                <w:sz w:val="18"/>
                <w:szCs w:val="18"/>
              </w:rPr>
            </w:pPr>
            <w:r w:rsidRPr="007E0792">
              <w:rPr>
                <w:sz w:val="18"/>
                <w:szCs w:val="18"/>
              </w:rPr>
              <w:t>Decreased recurrence rates</w:t>
            </w:r>
          </w:p>
        </w:tc>
        <w:tc>
          <w:tcPr>
            <w:tcW w:w="1195" w:type="dxa"/>
            <w:shd w:val="clear" w:color="auto" w:fill="FABF8F" w:themeFill="accent6" w:themeFillTint="99"/>
          </w:tcPr>
          <w:p w:rsidR="001C679A" w:rsidRPr="00C83BEF" w:rsidRDefault="001C679A" w:rsidP="00726E98">
            <w:pPr>
              <w:jc w:val="center"/>
              <w:rPr>
                <w:sz w:val="18"/>
                <w:szCs w:val="18"/>
              </w:rPr>
            </w:pPr>
            <w:r w:rsidRPr="002D3E29">
              <w:rPr>
                <w:b/>
                <w:sz w:val="18"/>
                <w:szCs w:val="18"/>
              </w:rPr>
              <w:t>LOW</w:t>
            </w:r>
          </w:p>
        </w:tc>
        <w:tc>
          <w:tcPr>
            <w:tcW w:w="1475" w:type="dxa"/>
            <w:shd w:val="clear" w:color="auto" w:fill="auto"/>
          </w:tcPr>
          <w:p w:rsidR="001C679A" w:rsidRPr="007E0792" w:rsidRDefault="001C679A" w:rsidP="00726E98">
            <w:pPr>
              <w:rPr>
                <w:sz w:val="18"/>
                <w:szCs w:val="18"/>
              </w:rPr>
            </w:pPr>
          </w:p>
        </w:tc>
        <w:tc>
          <w:tcPr>
            <w:tcW w:w="1440" w:type="dxa"/>
          </w:tcPr>
          <w:p w:rsidR="001C679A" w:rsidRPr="007E0792" w:rsidRDefault="001C679A" w:rsidP="00726E98">
            <w:pPr>
              <w:rPr>
                <w:sz w:val="18"/>
                <w:szCs w:val="18"/>
              </w:rPr>
            </w:pPr>
          </w:p>
        </w:tc>
      </w:tr>
      <w:tr w:rsidR="001C679A" w:rsidRPr="007E0792" w:rsidTr="00431229">
        <w:trPr>
          <w:cantSplit/>
          <w:trHeight w:val="127"/>
        </w:trPr>
        <w:tc>
          <w:tcPr>
            <w:tcW w:w="2952" w:type="dxa"/>
            <w:vMerge/>
            <w:shd w:val="clear" w:color="auto" w:fill="CCCCCC"/>
          </w:tcPr>
          <w:p w:rsidR="001C679A" w:rsidRPr="007E0792" w:rsidRDefault="001C679A" w:rsidP="00726E98">
            <w:pPr>
              <w:rPr>
                <w:sz w:val="18"/>
                <w:szCs w:val="18"/>
              </w:rPr>
            </w:pPr>
          </w:p>
        </w:tc>
        <w:tc>
          <w:tcPr>
            <w:tcW w:w="2757" w:type="dxa"/>
            <w:vMerge/>
          </w:tcPr>
          <w:p w:rsidR="001C679A" w:rsidRPr="007E0792" w:rsidRDefault="001C679A" w:rsidP="00726E98">
            <w:pPr>
              <w:numPr>
                <w:ilvl w:val="0"/>
                <w:numId w:val="10"/>
              </w:numPr>
              <w:rPr>
                <w:sz w:val="18"/>
                <w:szCs w:val="18"/>
              </w:rPr>
            </w:pPr>
          </w:p>
        </w:tc>
        <w:tc>
          <w:tcPr>
            <w:tcW w:w="4004" w:type="dxa"/>
          </w:tcPr>
          <w:p w:rsidR="001C679A" w:rsidRPr="007E0792" w:rsidRDefault="001C679A" w:rsidP="00726E98">
            <w:pPr>
              <w:rPr>
                <w:sz w:val="18"/>
                <w:szCs w:val="18"/>
              </w:rPr>
            </w:pPr>
            <w:r w:rsidRPr="007E0792">
              <w:rPr>
                <w:sz w:val="18"/>
                <w:szCs w:val="18"/>
              </w:rPr>
              <w:t>Decreased mortality</w:t>
            </w:r>
          </w:p>
        </w:tc>
        <w:tc>
          <w:tcPr>
            <w:tcW w:w="1195" w:type="dxa"/>
            <w:shd w:val="clear" w:color="auto" w:fill="FABF8F" w:themeFill="accent6" w:themeFillTint="99"/>
          </w:tcPr>
          <w:p w:rsidR="001C679A" w:rsidRPr="00C83BEF" w:rsidRDefault="001C679A" w:rsidP="00726E98">
            <w:pPr>
              <w:jc w:val="center"/>
              <w:rPr>
                <w:sz w:val="18"/>
                <w:szCs w:val="18"/>
              </w:rPr>
            </w:pPr>
            <w:r w:rsidRPr="002D3E29">
              <w:rPr>
                <w:b/>
                <w:sz w:val="18"/>
                <w:szCs w:val="18"/>
              </w:rPr>
              <w:t>LOW</w:t>
            </w:r>
          </w:p>
        </w:tc>
        <w:tc>
          <w:tcPr>
            <w:tcW w:w="1475" w:type="dxa"/>
            <w:shd w:val="clear" w:color="auto" w:fill="auto"/>
          </w:tcPr>
          <w:p w:rsidR="001C679A" w:rsidRPr="007E0792" w:rsidRDefault="001C679A" w:rsidP="00726E98">
            <w:pPr>
              <w:rPr>
                <w:sz w:val="18"/>
                <w:szCs w:val="18"/>
              </w:rPr>
            </w:pPr>
          </w:p>
        </w:tc>
        <w:tc>
          <w:tcPr>
            <w:tcW w:w="1440" w:type="dxa"/>
          </w:tcPr>
          <w:p w:rsidR="001C679A" w:rsidRPr="007E0792" w:rsidRDefault="001C679A" w:rsidP="00726E98">
            <w:pPr>
              <w:rPr>
                <w:sz w:val="18"/>
                <w:szCs w:val="18"/>
              </w:rPr>
            </w:pPr>
          </w:p>
        </w:tc>
      </w:tr>
      <w:tr w:rsidR="001C679A" w:rsidRPr="007E0792" w:rsidTr="00431229">
        <w:trPr>
          <w:cantSplit/>
          <w:trHeight w:val="440"/>
        </w:trPr>
        <w:tc>
          <w:tcPr>
            <w:tcW w:w="2952" w:type="dxa"/>
            <w:shd w:val="clear" w:color="auto" w:fill="CCCCCC"/>
          </w:tcPr>
          <w:p w:rsidR="001C679A" w:rsidRPr="007E0792" w:rsidRDefault="001C679A" w:rsidP="00726E98">
            <w:pPr>
              <w:rPr>
                <w:sz w:val="18"/>
                <w:szCs w:val="18"/>
              </w:rPr>
            </w:pPr>
            <w:r w:rsidRPr="007E0792">
              <w:rPr>
                <w:sz w:val="18"/>
                <w:szCs w:val="18"/>
              </w:rPr>
              <w:t xml:space="preserve">Size of the Outcomes </w:t>
            </w:r>
          </w:p>
        </w:tc>
        <w:tc>
          <w:tcPr>
            <w:tcW w:w="2757" w:type="dxa"/>
          </w:tcPr>
          <w:p w:rsidR="001C679A" w:rsidRPr="007E0792" w:rsidRDefault="001C679A" w:rsidP="00726E98">
            <w:pPr>
              <w:numPr>
                <w:ilvl w:val="0"/>
                <w:numId w:val="10"/>
              </w:numPr>
              <w:rPr>
                <w:sz w:val="18"/>
                <w:szCs w:val="18"/>
              </w:rPr>
            </w:pPr>
            <w:proofErr w:type="gramStart"/>
            <w:r w:rsidRPr="007E0792">
              <w:rPr>
                <w:sz w:val="18"/>
                <w:szCs w:val="18"/>
              </w:rPr>
              <w:t>the</w:t>
            </w:r>
            <w:proofErr w:type="gramEnd"/>
            <w:r w:rsidRPr="007E0792">
              <w:rPr>
                <w:sz w:val="18"/>
                <w:szCs w:val="18"/>
              </w:rPr>
              <w:t xml:space="preserve"> estimate is likely to be correct?</w:t>
            </w:r>
          </w:p>
        </w:tc>
        <w:tc>
          <w:tcPr>
            <w:tcW w:w="4004" w:type="dxa"/>
          </w:tcPr>
          <w:p w:rsidR="001C679A" w:rsidRPr="007E0792" w:rsidRDefault="001C679A" w:rsidP="00726E98">
            <w:pPr>
              <w:rPr>
                <w:sz w:val="18"/>
                <w:szCs w:val="18"/>
              </w:rPr>
            </w:pPr>
            <w:r w:rsidRPr="007E0792">
              <w:rPr>
                <w:sz w:val="18"/>
                <w:szCs w:val="18"/>
              </w:rPr>
              <w:t>2-5 additional cancers detected/100 MRIs, but with uncertain benefit in mortality, potential for risk and increase in cost</w:t>
            </w:r>
          </w:p>
        </w:tc>
        <w:tc>
          <w:tcPr>
            <w:tcW w:w="1195" w:type="dxa"/>
            <w:shd w:val="clear" w:color="auto" w:fill="00FF00"/>
          </w:tcPr>
          <w:p w:rsidR="001C679A" w:rsidRPr="00C83BEF" w:rsidRDefault="001C679A" w:rsidP="00726E98">
            <w:pPr>
              <w:jc w:val="center"/>
              <w:rPr>
                <w:color w:val="auto"/>
                <w:sz w:val="18"/>
                <w:szCs w:val="18"/>
              </w:rPr>
            </w:pPr>
            <w:r w:rsidRPr="002D3E29">
              <w:rPr>
                <w:b/>
                <w:sz w:val="18"/>
                <w:szCs w:val="18"/>
              </w:rPr>
              <w:t>HIGH</w:t>
            </w:r>
          </w:p>
        </w:tc>
        <w:tc>
          <w:tcPr>
            <w:tcW w:w="1475" w:type="dxa"/>
            <w:shd w:val="clear" w:color="auto" w:fill="auto"/>
          </w:tcPr>
          <w:p w:rsidR="001C679A" w:rsidRPr="007E0792" w:rsidRDefault="001C679A" w:rsidP="00726E98">
            <w:pPr>
              <w:rPr>
                <w:sz w:val="18"/>
                <w:szCs w:val="18"/>
              </w:rPr>
            </w:pPr>
          </w:p>
        </w:tc>
        <w:tc>
          <w:tcPr>
            <w:tcW w:w="1440" w:type="dxa"/>
          </w:tcPr>
          <w:p w:rsidR="001C679A" w:rsidRPr="007E0792" w:rsidRDefault="001C679A" w:rsidP="00726E98">
            <w:pPr>
              <w:rPr>
                <w:sz w:val="18"/>
                <w:szCs w:val="18"/>
              </w:rPr>
            </w:pPr>
          </w:p>
        </w:tc>
      </w:tr>
      <w:tr w:rsidR="001C679A" w:rsidRPr="007E0792" w:rsidTr="00431229">
        <w:trPr>
          <w:cantSplit/>
          <w:trHeight w:val="260"/>
        </w:trPr>
        <w:tc>
          <w:tcPr>
            <w:tcW w:w="2952" w:type="dxa"/>
            <w:shd w:val="clear" w:color="auto" w:fill="CCCCCC"/>
          </w:tcPr>
          <w:p w:rsidR="001C679A" w:rsidRPr="007E0792" w:rsidRDefault="001C679A" w:rsidP="00726E98">
            <w:pPr>
              <w:rPr>
                <w:sz w:val="18"/>
                <w:szCs w:val="18"/>
              </w:rPr>
            </w:pPr>
            <w:r w:rsidRPr="007E0792">
              <w:rPr>
                <w:sz w:val="18"/>
                <w:szCs w:val="18"/>
              </w:rPr>
              <w:t>Size of the Outcomes</w:t>
            </w:r>
          </w:p>
        </w:tc>
        <w:tc>
          <w:tcPr>
            <w:tcW w:w="2757" w:type="dxa"/>
          </w:tcPr>
          <w:p w:rsidR="001C679A" w:rsidRPr="007E0792" w:rsidRDefault="001C679A" w:rsidP="00726E98">
            <w:pPr>
              <w:numPr>
                <w:ilvl w:val="0"/>
                <w:numId w:val="10"/>
              </w:numPr>
              <w:rPr>
                <w:sz w:val="18"/>
                <w:szCs w:val="18"/>
              </w:rPr>
            </w:pPr>
            <w:proofErr w:type="gramStart"/>
            <w:r w:rsidRPr="007E0792">
              <w:rPr>
                <w:sz w:val="18"/>
                <w:szCs w:val="18"/>
              </w:rPr>
              <w:t>the</w:t>
            </w:r>
            <w:proofErr w:type="gramEnd"/>
            <w:r w:rsidRPr="007E0792">
              <w:rPr>
                <w:sz w:val="18"/>
                <w:szCs w:val="18"/>
              </w:rPr>
              <w:t xml:space="preserve"> estimate is likely to be correct?</w:t>
            </w:r>
          </w:p>
        </w:tc>
        <w:tc>
          <w:tcPr>
            <w:tcW w:w="4004" w:type="dxa"/>
          </w:tcPr>
          <w:p w:rsidR="001C679A" w:rsidRPr="007E0792" w:rsidRDefault="001C679A" w:rsidP="00726E98">
            <w:pPr>
              <w:rPr>
                <w:sz w:val="18"/>
                <w:szCs w:val="18"/>
              </w:rPr>
            </w:pPr>
            <w:r w:rsidRPr="007E0792">
              <w:rPr>
                <w:sz w:val="18"/>
                <w:szCs w:val="18"/>
              </w:rPr>
              <w:t xml:space="preserve">Up to 11 additional benign biopsies/100 MRIs </w:t>
            </w:r>
          </w:p>
        </w:tc>
        <w:tc>
          <w:tcPr>
            <w:tcW w:w="1195" w:type="dxa"/>
            <w:shd w:val="clear" w:color="auto" w:fill="FFFF00"/>
          </w:tcPr>
          <w:p w:rsidR="001C679A" w:rsidRPr="002D3E29" w:rsidRDefault="001C679A" w:rsidP="00726E98">
            <w:pPr>
              <w:jc w:val="center"/>
              <w:rPr>
                <w:b/>
                <w:sz w:val="18"/>
                <w:szCs w:val="18"/>
              </w:rPr>
            </w:pPr>
            <w:r>
              <w:rPr>
                <w:b/>
                <w:sz w:val="18"/>
                <w:szCs w:val="18"/>
              </w:rPr>
              <w:t>MEDIUM</w:t>
            </w:r>
          </w:p>
        </w:tc>
        <w:tc>
          <w:tcPr>
            <w:tcW w:w="1475" w:type="dxa"/>
            <w:shd w:val="clear" w:color="auto" w:fill="auto"/>
          </w:tcPr>
          <w:p w:rsidR="001C679A" w:rsidRPr="007E0792" w:rsidRDefault="001C679A" w:rsidP="00726E98">
            <w:pPr>
              <w:rPr>
                <w:b/>
                <w:sz w:val="18"/>
                <w:szCs w:val="18"/>
              </w:rPr>
            </w:pPr>
          </w:p>
        </w:tc>
        <w:tc>
          <w:tcPr>
            <w:tcW w:w="1440" w:type="dxa"/>
          </w:tcPr>
          <w:p w:rsidR="001C679A" w:rsidRPr="007E0792" w:rsidRDefault="001C679A" w:rsidP="00726E98">
            <w:pPr>
              <w:rPr>
                <w:b/>
                <w:sz w:val="18"/>
                <w:szCs w:val="18"/>
              </w:rPr>
            </w:pPr>
          </w:p>
        </w:tc>
      </w:tr>
      <w:tr w:rsidR="001C679A" w:rsidRPr="007E0792" w:rsidTr="00431229">
        <w:trPr>
          <w:cantSplit/>
          <w:trHeight w:val="291"/>
        </w:trPr>
        <w:tc>
          <w:tcPr>
            <w:tcW w:w="2952" w:type="dxa"/>
            <w:vMerge w:val="restart"/>
            <w:shd w:val="clear" w:color="auto" w:fill="CCCCCC"/>
          </w:tcPr>
          <w:p w:rsidR="001C679A" w:rsidRPr="007E0792" w:rsidRDefault="001C679A" w:rsidP="00726E98">
            <w:pPr>
              <w:rPr>
                <w:sz w:val="18"/>
                <w:szCs w:val="18"/>
              </w:rPr>
            </w:pPr>
            <w:r w:rsidRPr="007E0792">
              <w:rPr>
                <w:sz w:val="18"/>
                <w:szCs w:val="18"/>
              </w:rPr>
              <w:t>Safety</w:t>
            </w:r>
          </w:p>
        </w:tc>
        <w:tc>
          <w:tcPr>
            <w:tcW w:w="2757" w:type="dxa"/>
            <w:vMerge w:val="restart"/>
          </w:tcPr>
          <w:p w:rsidR="001C679A" w:rsidRPr="007E0792" w:rsidRDefault="001C679A" w:rsidP="00726E98">
            <w:pPr>
              <w:numPr>
                <w:ilvl w:val="0"/>
                <w:numId w:val="10"/>
              </w:numPr>
              <w:rPr>
                <w:sz w:val="18"/>
                <w:szCs w:val="18"/>
              </w:rPr>
            </w:pPr>
            <w:proofErr w:type="gramStart"/>
            <w:r w:rsidRPr="007E0792">
              <w:rPr>
                <w:sz w:val="18"/>
                <w:szCs w:val="18"/>
              </w:rPr>
              <w:t>the</w:t>
            </w:r>
            <w:proofErr w:type="gramEnd"/>
            <w:r w:rsidRPr="007E0792">
              <w:rPr>
                <w:sz w:val="18"/>
                <w:szCs w:val="18"/>
              </w:rPr>
              <w:t xml:space="preserve"> estimate is correct?</w:t>
            </w:r>
          </w:p>
        </w:tc>
        <w:tc>
          <w:tcPr>
            <w:tcW w:w="4004" w:type="dxa"/>
          </w:tcPr>
          <w:p w:rsidR="001C679A" w:rsidRPr="007E0792" w:rsidRDefault="001C679A" w:rsidP="00726E98">
            <w:pPr>
              <w:rPr>
                <w:sz w:val="18"/>
                <w:szCs w:val="18"/>
              </w:rPr>
            </w:pPr>
            <w:r w:rsidRPr="007E0792">
              <w:rPr>
                <w:sz w:val="18"/>
                <w:szCs w:val="18"/>
              </w:rPr>
              <w:t>No increase in meaningful adverse psychological outcomes</w:t>
            </w:r>
          </w:p>
        </w:tc>
        <w:tc>
          <w:tcPr>
            <w:tcW w:w="1195" w:type="dxa"/>
            <w:shd w:val="clear" w:color="auto" w:fill="FFFF00"/>
          </w:tcPr>
          <w:p w:rsidR="001C679A" w:rsidRPr="00C83BEF" w:rsidRDefault="001C679A" w:rsidP="00726E98">
            <w:pPr>
              <w:jc w:val="center"/>
              <w:rPr>
                <w:sz w:val="18"/>
                <w:szCs w:val="18"/>
              </w:rPr>
            </w:pPr>
            <w:r>
              <w:rPr>
                <w:b/>
                <w:sz w:val="18"/>
                <w:szCs w:val="18"/>
              </w:rPr>
              <w:t>MEDIUM</w:t>
            </w:r>
          </w:p>
        </w:tc>
        <w:tc>
          <w:tcPr>
            <w:tcW w:w="1475" w:type="dxa"/>
            <w:shd w:val="clear" w:color="auto" w:fill="auto"/>
          </w:tcPr>
          <w:p w:rsidR="001C679A" w:rsidRPr="007E0792" w:rsidRDefault="001C679A" w:rsidP="00726E98">
            <w:pPr>
              <w:rPr>
                <w:sz w:val="18"/>
                <w:szCs w:val="18"/>
              </w:rPr>
            </w:pPr>
          </w:p>
        </w:tc>
        <w:tc>
          <w:tcPr>
            <w:tcW w:w="1440" w:type="dxa"/>
          </w:tcPr>
          <w:p w:rsidR="001C679A" w:rsidRPr="007E0792" w:rsidRDefault="001C679A" w:rsidP="00726E98">
            <w:pPr>
              <w:rPr>
                <w:sz w:val="18"/>
                <w:szCs w:val="18"/>
              </w:rPr>
            </w:pPr>
          </w:p>
        </w:tc>
      </w:tr>
      <w:tr w:rsidR="001C679A" w:rsidRPr="007E0792" w:rsidTr="00431229">
        <w:trPr>
          <w:cantSplit/>
          <w:trHeight w:val="70"/>
        </w:trPr>
        <w:tc>
          <w:tcPr>
            <w:tcW w:w="2952" w:type="dxa"/>
            <w:vMerge/>
            <w:shd w:val="clear" w:color="auto" w:fill="CCCCCC"/>
          </w:tcPr>
          <w:p w:rsidR="001C679A" w:rsidRPr="007E0792" w:rsidRDefault="001C679A" w:rsidP="00726E98">
            <w:pPr>
              <w:rPr>
                <w:sz w:val="18"/>
                <w:szCs w:val="18"/>
              </w:rPr>
            </w:pPr>
          </w:p>
        </w:tc>
        <w:tc>
          <w:tcPr>
            <w:tcW w:w="2757" w:type="dxa"/>
            <w:vMerge/>
          </w:tcPr>
          <w:p w:rsidR="001C679A" w:rsidRPr="007E0792" w:rsidRDefault="001C679A" w:rsidP="00726E98">
            <w:pPr>
              <w:numPr>
                <w:ilvl w:val="0"/>
                <w:numId w:val="10"/>
              </w:numPr>
              <w:rPr>
                <w:sz w:val="18"/>
                <w:szCs w:val="18"/>
              </w:rPr>
            </w:pPr>
          </w:p>
        </w:tc>
        <w:tc>
          <w:tcPr>
            <w:tcW w:w="4004" w:type="dxa"/>
          </w:tcPr>
          <w:p w:rsidR="001C679A" w:rsidRPr="007E0792" w:rsidRDefault="001C679A" w:rsidP="00726E98">
            <w:pPr>
              <w:rPr>
                <w:sz w:val="18"/>
                <w:szCs w:val="18"/>
              </w:rPr>
            </w:pPr>
            <w:r w:rsidRPr="007E0792">
              <w:rPr>
                <w:sz w:val="18"/>
                <w:szCs w:val="18"/>
              </w:rPr>
              <w:t>No increase in adverse outcomes from radiation</w:t>
            </w:r>
          </w:p>
        </w:tc>
        <w:tc>
          <w:tcPr>
            <w:tcW w:w="1195" w:type="dxa"/>
            <w:shd w:val="clear" w:color="auto" w:fill="00FF00"/>
          </w:tcPr>
          <w:p w:rsidR="001C679A" w:rsidRPr="00C83BEF" w:rsidRDefault="001C679A" w:rsidP="00726E98">
            <w:pPr>
              <w:jc w:val="center"/>
              <w:rPr>
                <w:sz w:val="18"/>
                <w:szCs w:val="18"/>
              </w:rPr>
            </w:pPr>
            <w:r w:rsidRPr="002D3E29">
              <w:rPr>
                <w:b/>
                <w:sz w:val="18"/>
                <w:szCs w:val="18"/>
              </w:rPr>
              <w:t>HIGH</w:t>
            </w:r>
          </w:p>
        </w:tc>
        <w:tc>
          <w:tcPr>
            <w:tcW w:w="1475" w:type="dxa"/>
            <w:shd w:val="clear" w:color="auto" w:fill="auto"/>
          </w:tcPr>
          <w:p w:rsidR="001C679A" w:rsidRPr="007E0792" w:rsidRDefault="001C679A" w:rsidP="00726E98">
            <w:pPr>
              <w:rPr>
                <w:sz w:val="18"/>
                <w:szCs w:val="18"/>
              </w:rPr>
            </w:pPr>
          </w:p>
        </w:tc>
        <w:tc>
          <w:tcPr>
            <w:tcW w:w="1440" w:type="dxa"/>
          </w:tcPr>
          <w:p w:rsidR="001C679A" w:rsidRPr="007E0792" w:rsidRDefault="001C679A" w:rsidP="00726E98">
            <w:pPr>
              <w:rPr>
                <w:sz w:val="18"/>
                <w:szCs w:val="18"/>
              </w:rPr>
            </w:pPr>
          </w:p>
        </w:tc>
      </w:tr>
      <w:tr w:rsidR="001C679A" w:rsidRPr="007E0792" w:rsidTr="00431229">
        <w:trPr>
          <w:cantSplit/>
        </w:trPr>
        <w:tc>
          <w:tcPr>
            <w:tcW w:w="2952" w:type="dxa"/>
            <w:shd w:val="clear" w:color="auto" w:fill="CCCCCC"/>
          </w:tcPr>
          <w:p w:rsidR="001C679A" w:rsidRPr="007E0792" w:rsidRDefault="001C679A" w:rsidP="00726E98">
            <w:pPr>
              <w:rPr>
                <w:sz w:val="18"/>
                <w:szCs w:val="18"/>
              </w:rPr>
            </w:pPr>
            <w:r w:rsidRPr="007E0792">
              <w:rPr>
                <w:sz w:val="18"/>
                <w:szCs w:val="18"/>
              </w:rPr>
              <w:t xml:space="preserve">Cost </w:t>
            </w:r>
          </w:p>
        </w:tc>
        <w:tc>
          <w:tcPr>
            <w:tcW w:w="2757" w:type="dxa"/>
          </w:tcPr>
          <w:p w:rsidR="001C679A" w:rsidRPr="007E0792" w:rsidRDefault="001C679A" w:rsidP="00726E98">
            <w:pPr>
              <w:numPr>
                <w:ilvl w:val="0"/>
                <w:numId w:val="10"/>
              </w:numPr>
              <w:rPr>
                <w:sz w:val="18"/>
                <w:szCs w:val="18"/>
              </w:rPr>
            </w:pPr>
            <w:proofErr w:type="gramStart"/>
            <w:r w:rsidRPr="007E0792">
              <w:rPr>
                <w:sz w:val="18"/>
                <w:szCs w:val="18"/>
              </w:rPr>
              <w:t>the</w:t>
            </w:r>
            <w:proofErr w:type="gramEnd"/>
            <w:r w:rsidRPr="007E0792">
              <w:rPr>
                <w:sz w:val="18"/>
                <w:szCs w:val="18"/>
              </w:rPr>
              <w:t xml:space="preserve"> estimate is correct?</w:t>
            </w:r>
          </w:p>
        </w:tc>
        <w:tc>
          <w:tcPr>
            <w:tcW w:w="4004" w:type="dxa"/>
          </w:tcPr>
          <w:p w:rsidR="001C679A" w:rsidRPr="007E0792" w:rsidRDefault="001C679A" w:rsidP="00726E98">
            <w:pPr>
              <w:rPr>
                <w:sz w:val="18"/>
                <w:szCs w:val="18"/>
              </w:rPr>
            </w:pPr>
            <w:r w:rsidRPr="007E0792">
              <w:rPr>
                <w:sz w:val="18"/>
                <w:szCs w:val="18"/>
              </w:rPr>
              <w:t>Increased cost of technology: MRI 10 times the cost of mammography</w:t>
            </w:r>
          </w:p>
        </w:tc>
        <w:tc>
          <w:tcPr>
            <w:tcW w:w="1195" w:type="dxa"/>
            <w:shd w:val="clear" w:color="auto" w:fill="00FF00"/>
          </w:tcPr>
          <w:p w:rsidR="001C679A" w:rsidRPr="00C83BEF" w:rsidRDefault="001C679A" w:rsidP="00726E98">
            <w:pPr>
              <w:jc w:val="center"/>
              <w:rPr>
                <w:sz w:val="18"/>
                <w:szCs w:val="18"/>
              </w:rPr>
            </w:pPr>
            <w:r w:rsidRPr="002D3E29">
              <w:rPr>
                <w:b/>
                <w:sz w:val="18"/>
                <w:szCs w:val="18"/>
              </w:rPr>
              <w:t>HIGH</w:t>
            </w:r>
          </w:p>
        </w:tc>
        <w:tc>
          <w:tcPr>
            <w:tcW w:w="1475" w:type="dxa"/>
            <w:shd w:val="clear" w:color="auto" w:fill="auto"/>
          </w:tcPr>
          <w:p w:rsidR="001C679A" w:rsidRPr="007E0792" w:rsidRDefault="001C679A" w:rsidP="00726E98">
            <w:pPr>
              <w:rPr>
                <w:sz w:val="18"/>
                <w:szCs w:val="18"/>
              </w:rPr>
            </w:pPr>
          </w:p>
        </w:tc>
        <w:tc>
          <w:tcPr>
            <w:tcW w:w="1440" w:type="dxa"/>
          </w:tcPr>
          <w:p w:rsidR="001C679A" w:rsidRPr="007E0792" w:rsidRDefault="001C679A" w:rsidP="00726E98">
            <w:pPr>
              <w:rPr>
                <w:sz w:val="18"/>
                <w:szCs w:val="18"/>
              </w:rPr>
            </w:pPr>
          </w:p>
        </w:tc>
      </w:tr>
      <w:tr w:rsidR="001C679A" w:rsidRPr="007E0792" w:rsidTr="00431229">
        <w:trPr>
          <w:cantSplit/>
        </w:trPr>
        <w:tc>
          <w:tcPr>
            <w:tcW w:w="2952" w:type="dxa"/>
            <w:shd w:val="clear" w:color="auto" w:fill="CCCCCC"/>
          </w:tcPr>
          <w:p w:rsidR="001C679A" w:rsidRPr="007E0792" w:rsidRDefault="001C679A" w:rsidP="00726E98">
            <w:pPr>
              <w:rPr>
                <w:sz w:val="18"/>
                <w:szCs w:val="18"/>
              </w:rPr>
            </w:pPr>
            <w:r w:rsidRPr="007E0792">
              <w:rPr>
                <w:sz w:val="18"/>
                <w:szCs w:val="18"/>
              </w:rPr>
              <w:t xml:space="preserve">QALY: Evidence Quality for Mortality and Methods Overall </w:t>
            </w:r>
          </w:p>
          <w:p w:rsidR="001C679A" w:rsidRPr="007E0792" w:rsidRDefault="001C679A" w:rsidP="00726E98">
            <w:pPr>
              <w:rPr>
                <w:sz w:val="18"/>
                <w:szCs w:val="18"/>
              </w:rPr>
            </w:pPr>
            <w:r w:rsidRPr="007E0792">
              <w:rPr>
                <w:sz w:val="18"/>
                <w:szCs w:val="18"/>
              </w:rPr>
              <w:t>[Possibly reasonable QALY judgment: +&lt;$50K</w:t>
            </w:r>
            <w:proofErr w:type="gramStart"/>
            <w:r w:rsidRPr="007E0792">
              <w:rPr>
                <w:sz w:val="18"/>
                <w:szCs w:val="18"/>
              </w:rPr>
              <w:t>, ?</w:t>
            </w:r>
            <w:proofErr w:type="gramEnd"/>
            <w:r w:rsidRPr="007E0792">
              <w:rPr>
                <w:sz w:val="18"/>
                <w:szCs w:val="18"/>
              </w:rPr>
              <w:t xml:space="preserve"> $50-150k, </w:t>
            </w:r>
            <w:r w:rsidRPr="007E0792">
              <w:rPr>
                <w:sz w:val="18"/>
                <w:szCs w:val="18"/>
              </w:rPr>
              <w:br/>
              <w:t>— &gt;$150K]</w:t>
            </w:r>
          </w:p>
        </w:tc>
        <w:tc>
          <w:tcPr>
            <w:tcW w:w="2757" w:type="dxa"/>
          </w:tcPr>
          <w:p w:rsidR="001C679A" w:rsidRPr="007E0792" w:rsidRDefault="001C679A" w:rsidP="00726E98">
            <w:pPr>
              <w:numPr>
                <w:ilvl w:val="0"/>
                <w:numId w:val="10"/>
              </w:numPr>
              <w:rPr>
                <w:sz w:val="18"/>
                <w:szCs w:val="18"/>
              </w:rPr>
            </w:pPr>
            <w:proofErr w:type="gramStart"/>
            <w:r w:rsidRPr="007E0792">
              <w:rPr>
                <w:sz w:val="18"/>
                <w:szCs w:val="18"/>
              </w:rPr>
              <w:t>the</w:t>
            </w:r>
            <w:proofErr w:type="gramEnd"/>
            <w:r w:rsidRPr="007E0792">
              <w:rPr>
                <w:sz w:val="18"/>
                <w:szCs w:val="18"/>
              </w:rPr>
              <w:t xml:space="preserve"> estimate is correct?</w:t>
            </w:r>
          </w:p>
        </w:tc>
        <w:tc>
          <w:tcPr>
            <w:tcW w:w="4004" w:type="dxa"/>
          </w:tcPr>
          <w:p w:rsidR="001C679A" w:rsidRPr="007E0792" w:rsidRDefault="001C679A" w:rsidP="00726E98">
            <w:pPr>
              <w:rPr>
                <w:sz w:val="18"/>
                <w:szCs w:val="18"/>
              </w:rPr>
            </w:pPr>
            <w:r w:rsidRPr="007E0792">
              <w:rPr>
                <w:sz w:val="18"/>
                <w:szCs w:val="18"/>
              </w:rPr>
              <w:t>Cost per QALYs saved: ~$30,000 to ~$310,000 depending upon risk and assumptions</w:t>
            </w:r>
          </w:p>
          <w:p w:rsidR="001C679A" w:rsidRPr="007E0792" w:rsidRDefault="001C679A" w:rsidP="00726E98">
            <w:pPr>
              <w:rPr>
                <w:sz w:val="18"/>
                <w:szCs w:val="18"/>
              </w:rPr>
            </w:pPr>
          </w:p>
        </w:tc>
        <w:tc>
          <w:tcPr>
            <w:tcW w:w="1195" w:type="dxa"/>
            <w:shd w:val="clear" w:color="auto" w:fill="FABF8F" w:themeFill="accent6" w:themeFillTint="99"/>
          </w:tcPr>
          <w:p w:rsidR="001C679A" w:rsidRPr="00C83BEF" w:rsidRDefault="001C679A" w:rsidP="00726E98">
            <w:pPr>
              <w:jc w:val="center"/>
              <w:rPr>
                <w:sz w:val="18"/>
                <w:szCs w:val="18"/>
              </w:rPr>
            </w:pPr>
            <w:r w:rsidRPr="002D3E29">
              <w:rPr>
                <w:b/>
                <w:sz w:val="18"/>
                <w:szCs w:val="18"/>
              </w:rPr>
              <w:t>LOW</w:t>
            </w:r>
            <w:bookmarkStart w:id="0" w:name="_GoBack"/>
            <w:bookmarkEnd w:id="0"/>
          </w:p>
        </w:tc>
        <w:tc>
          <w:tcPr>
            <w:tcW w:w="1475" w:type="dxa"/>
            <w:shd w:val="clear" w:color="auto" w:fill="auto"/>
          </w:tcPr>
          <w:p w:rsidR="001C679A" w:rsidRPr="007E0792" w:rsidRDefault="001C679A" w:rsidP="00726E98">
            <w:pPr>
              <w:rPr>
                <w:sz w:val="18"/>
                <w:szCs w:val="18"/>
              </w:rPr>
            </w:pPr>
          </w:p>
        </w:tc>
        <w:tc>
          <w:tcPr>
            <w:tcW w:w="1440" w:type="dxa"/>
          </w:tcPr>
          <w:p w:rsidR="001C679A" w:rsidRPr="007E0792" w:rsidRDefault="001C679A" w:rsidP="00726E98">
            <w:pPr>
              <w:rPr>
                <w:sz w:val="18"/>
                <w:szCs w:val="18"/>
              </w:rPr>
            </w:pPr>
          </w:p>
        </w:tc>
      </w:tr>
      <w:tr w:rsidR="001C679A" w:rsidRPr="007E0792" w:rsidTr="00431229">
        <w:trPr>
          <w:cantSplit/>
        </w:trPr>
        <w:tc>
          <w:tcPr>
            <w:tcW w:w="2952" w:type="dxa"/>
            <w:shd w:val="clear" w:color="auto" w:fill="CCCCCC"/>
          </w:tcPr>
          <w:p w:rsidR="001C679A" w:rsidRPr="007E0792" w:rsidRDefault="001C679A" w:rsidP="00726E98">
            <w:pPr>
              <w:rPr>
                <w:sz w:val="18"/>
                <w:szCs w:val="18"/>
              </w:rPr>
            </w:pPr>
            <w:r w:rsidRPr="007E0792">
              <w:rPr>
                <w:sz w:val="18"/>
                <w:szCs w:val="18"/>
              </w:rPr>
              <w:t>Alternatives Available</w:t>
            </w:r>
          </w:p>
          <w:p w:rsidR="001C679A" w:rsidRPr="007E0792" w:rsidRDefault="001C679A" w:rsidP="00726E98">
            <w:pPr>
              <w:rPr>
                <w:sz w:val="18"/>
                <w:szCs w:val="18"/>
              </w:rPr>
            </w:pPr>
          </w:p>
        </w:tc>
        <w:tc>
          <w:tcPr>
            <w:tcW w:w="2757" w:type="dxa"/>
          </w:tcPr>
          <w:p w:rsidR="001C679A" w:rsidRPr="007E0792" w:rsidRDefault="001C679A" w:rsidP="00726E98">
            <w:pPr>
              <w:numPr>
                <w:ilvl w:val="0"/>
                <w:numId w:val="10"/>
              </w:numPr>
              <w:rPr>
                <w:sz w:val="18"/>
                <w:szCs w:val="18"/>
              </w:rPr>
            </w:pPr>
            <w:proofErr w:type="gramStart"/>
            <w:r w:rsidRPr="007E0792">
              <w:rPr>
                <w:sz w:val="18"/>
                <w:szCs w:val="18"/>
              </w:rPr>
              <w:t>the</w:t>
            </w:r>
            <w:proofErr w:type="gramEnd"/>
            <w:r w:rsidRPr="007E0792">
              <w:rPr>
                <w:sz w:val="18"/>
                <w:szCs w:val="18"/>
              </w:rPr>
              <w:t xml:space="preserve"> information about  alternatives is correct?</w:t>
            </w:r>
          </w:p>
        </w:tc>
        <w:tc>
          <w:tcPr>
            <w:tcW w:w="4004" w:type="dxa"/>
          </w:tcPr>
          <w:p w:rsidR="001C679A" w:rsidRPr="007E0792" w:rsidRDefault="001C679A" w:rsidP="00726E98">
            <w:pPr>
              <w:rPr>
                <w:sz w:val="18"/>
                <w:szCs w:val="18"/>
              </w:rPr>
            </w:pPr>
            <w:r w:rsidRPr="007E0792">
              <w:rPr>
                <w:sz w:val="18"/>
                <w:szCs w:val="18"/>
              </w:rPr>
              <w:t>Mammography: lower sensitivity, but fewer false positive biopsies</w:t>
            </w:r>
          </w:p>
        </w:tc>
        <w:tc>
          <w:tcPr>
            <w:tcW w:w="1195" w:type="dxa"/>
            <w:shd w:val="clear" w:color="auto" w:fill="00FF00"/>
          </w:tcPr>
          <w:p w:rsidR="001C679A" w:rsidRPr="00C83BEF" w:rsidRDefault="001C679A" w:rsidP="00726E98">
            <w:pPr>
              <w:jc w:val="center"/>
              <w:rPr>
                <w:sz w:val="18"/>
                <w:szCs w:val="18"/>
              </w:rPr>
            </w:pPr>
            <w:r w:rsidRPr="002D3E29">
              <w:rPr>
                <w:b/>
                <w:sz w:val="18"/>
                <w:szCs w:val="18"/>
              </w:rPr>
              <w:t>HIGH</w:t>
            </w:r>
          </w:p>
        </w:tc>
        <w:tc>
          <w:tcPr>
            <w:tcW w:w="1475" w:type="dxa"/>
            <w:shd w:val="clear" w:color="auto" w:fill="auto"/>
          </w:tcPr>
          <w:p w:rsidR="001C679A" w:rsidRPr="007E0792" w:rsidRDefault="001C679A" w:rsidP="00726E98">
            <w:pPr>
              <w:rPr>
                <w:sz w:val="18"/>
                <w:szCs w:val="18"/>
              </w:rPr>
            </w:pPr>
          </w:p>
        </w:tc>
        <w:tc>
          <w:tcPr>
            <w:tcW w:w="1440" w:type="dxa"/>
          </w:tcPr>
          <w:p w:rsidR="001C679A" w:rsidRPr="007E0792" w:rsidRDefault="001C679A" w:rsidP="00726E98">
            <w:pPr>
              <w:rPr>
                <w:sz w:val="18"/>
                <w:szCs w:val="18"/>
              </w:rPr>
            </w:pPr>
          </w:p>
        </w:tc>
      </w:tr>
    </w:tbl>
    <w:p w:rsidR="001C679A" w:rsidRPr="007E0792" w:rsidRDefault="001C679A" w:rsidP="001C679A">
      <w:pPr>
        <w:rPr>
          <w:b/>
          <w:sz w:val="18"/>
          <w:szCs w:val="18"/>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0278"/>
      </w:tblGrid>
      <w:tr w:rsidR="001C679A" w:rsidRPr="007E0792" w:rsidTr="00B2075A">
        <w:tc>
          <w:tcPr>
            <w:tcW w:w="3420" w:type="dxa"/>
          </w:tcPr>
          <w:p w:rsidR="001C679A" w:rsidRPr="007E0792" w:rsidRDefault="001C679A" w:rsidP="00726E98">
            <w:pPr>
              <w:rPr>
                <w:b/>
                <w:sz w:val="18"/>
                <w:szCs w:val="18"/>
              </w:rPr>
            </w:pPr>
            <w:r w:rsidRPr="007E0792">
              <w:rPr>
                <w:b/>
                <w:sz w:val="18"/>
                <w:szCs w:val="18"/>
              </w:rPr>
              <w:t>Patient Perspective</w:t>
            </w:r>
          </w:p>
        </w:tc>
        <w:tc>
          <w:tcPr>
            <w:tcW w:w="10278" w:type="dxa"/>
          </w:tcPr>
          <w:p w:rsidR="001C679A" w:rsidRPr="007E0792" w:rsidRDefault="001C679A" w:rsidP="00726E98">
            <w:pPr>
              <w:rPr>
                <w:b/>
                <w:sz w:val="18"/>
                <w:szCs w:val="18"/>
              </w:rPr>
            </w:pPr>
            <w:r w:rsidRPr="007E0792">
              <w:rPr>
                <w:sz w:val="18"/>
                <w:szCs w:val="18"/>
              </w:rPr>
              <w:t>If goal is increased detection, MRI is preferred. If goal is assurance that benefits outweigh harms, MRI is not preferred.</w:t>
            </w:r>
          </w:p>
        </w:tc>
      </w:tr>
      <w:tr w:rsidR="001C679A" w:rsidRPr="007E0792" w:rsidTr="00B2075A">
        <w:tc>
          <w:tcPr>
            <w:tcW w:w="3420" w:type="dxa"/>
            <w:tcBorders>
              <w:top w:val="single" w:sz="4" w:space="0" w:color="auto"/>
              <w:left w:val="single" w:sz="4" w:space="0" w:color="auto"/>
              <w:bottom w:val="single" w:sz="4" w:space="0" w:color="auto"/>
              <w:right w:val="single" w:sz="4" w:space="0" w:color="auto"/>
            </w:tcBorders>
          </w:tcPr>
          <w:p w:rsidR="001C679A" w:rsidRPr="007E0792" w:rsidRDefault="001C679A" w:rsidP="00726E98">
            <w:pPr>
              <w:rPr>
                <w:b/>
                <w:sz w:val="18"/>
                <w:szCs w:val="18"/>
              </w:rPr>
            </w:pPr>
            <w:r w:rsidRPr="007E0792">
              <w:rPr>
                <w:b/>
                <w:sz w:val="18"/>
                <w:szCs w:val="18"/>
              </w:rPr>
              <w:t>Conclusions Regarding Net Benefit</w:t>
            </w:r>
          </w:p>
        </w:tc>
        <w:tc>
          <w:tcPr>
            <w:tcW w:w="10278" w:type="dxa"/>
            <w:tcBorders>
              <w:top w:val="single" w:sz="4" w:space="0" w:color="auto"/>
              <w:left w:val="single" w:sz="4" w:space="0" w:color="auto"/>
              <w:bottom w:val="single" w:sz="4" w:space="0" w:color="auto"/>
              <w:right w:val="single" w:sz="4" w:space="0" w:color="auto"/>
            </w:tcBorders>
          </w:tcPr>
          <w:p w:rsidR="001C679A" w:rsidRPr="007E0792" w:rsidRDefault="001C679A" w:rsidP="00726E98">
            <w:pPr>
              <w:rPr>
                <w:sz w:val="18"/>
                <w:szCs w:val="18"/>
              </w:rPr>
            </w:pPr>
            <w:r w:rsidRPr="007E0792">
              <w:rPr>
                <w:sz w:val="18"/>
                <w:szCs w:val="18"/>
              </w:rPr>
              <w:t>There is no proof of net benefit, and there is potential harm.</w:t>
            </w:r>
          </w:p>
        </w:tc>
      </w:tr>
    </w:tbl>
    <w:p w:rsidR="001C679A" w:rsidRPr="007E0792" w:rsidRDefault="001C679A" w:rsidP="001C679A">
      <w:pPr>
        <w:rPr>
          <w:b/>
          <w:sz w:val="18"/>
          <w:szCs w:val="18"/>
        </w:rPr>
      </w:pPr>
    </w:p>
    <w:p w:rsidR="001C679A" w:rsidRPr="007E0792" w:rsidRDefault="001C679A" w:rsidP="001C679A">
      <w:pPr>
        <w:rPr>
          <w:b/>
          <w:sz w:val="18"/>
          <w:szCs w:val="18"/>
        </w:rPr>
      </w:pPr>
      <w:r w:rsidRPr="007E0792">
        <w:rPr>
          <w:b/>
          <w:sz w:val="18"/>
          <w:szCs w:val="18"/>
        </w:rPr>
        <w:br w:type="page"/>
      </w:r>
      <w:r w:rsidRPr="007E0792">
        <w:rPr>
          <w:b/>
          <w:sz w:val="18"/>
          <w:szCs w:val="18"/>
        </w:rPr>
        <w:lastRenderedPageBreak/>
        <w:t>Other Evidentiary Considerations</w:t>
      </w:r>
    </w:p>
    <w:p w:rsidR="001C679A" w:rsidRPr="007E0792" w:rsidRDefault="001C679A" w:rsidP="001C679A">
      <w:pPr>
        <w:numPr>
          <w:ilvl w:val="0"/>
          <w:numId w:val="14"/>
        </w:numPr>
        <w:rPr>
          <w:sz w:val="18"/>
          <w:szCs w:val="18"/>
        </w:rPr>
      </w:pPr>
      <w:r w:rsidRPr="007E0792">
        <w:rPr>
          <w:sz w:val="18"/>
          <w:szCs w:val="18"/>
        </w:rPr>
        <w:t xml:space="preserve">Intervention or technology is considered to be safe or has low likelihood of harm or the adverse effects are acceptable. The intervention or technology is unlikely to result in other unacceptable untoward effects or unacceptable unintended consequences and is of acceptable cost (e.g., dietary change).  </w:t>
      </w:r>
      <w:r w:rsidRPr="007E0792">
        <w:rPr>
          <w:sz w:val="18"/>
          <w:szCs w:val="18"/>
        </w:rPr>
        <w:br/>
      </w:r>
      <w:r w:rsidRPr="007E0792">
        <w:rPr>
          <w:snapToGrid w:val="0"/>
          <w:sz w:val="18"/>
          <w:szCs w:val="18"/>
        </w:rPr>
        <w:t>[  ]  Meets criteria</w:t>
      </w:r>
    </w:p>
    <w:p w:rsidR="001C679A" w:rsidRPr="007E0792" w:rsidRDefault="001C679A" w:rsidP="001C679A">
      <w:pPr>
        <w:numPr>
          <w:ilvl w:val="0"/>
          <w:numId w:val="14"/>
        </w:numPr>
        <w:rPr>
          <w:sz w:val="18"/>
          <w:szCs w:val="18"/>
        </w:rPr>
      </w:pPr>
      <w:r w:rsidRPr="007E0792">
        <w:rPr>
          <w:sz w:val="18"/>
          <w:szCs w:val="18"/>
        </w:rPr>
        <w:t>No other effective treatments or technologies exist, and adverse clinical outcomes are likely if the condition is not treated.</w:t>
      </w:r>
      <w:r w:rsidRPr="007E0792">
        <w:rPr>
          <w:sz w:val="18"/>
          <w:szCs w:val="18"/>
        </w:rPr>
        <w:br/>
      </w:r>
      <w:r w:rsidRPr="007E0792">
        <w:rPr>
          <w:snapToGrid w:val="0"/>
          <w:sz w:val="18"/>
          <w:szCs w:val="18"/>
        </w:rPr>
        <w:t xml:space="preserve">[  ]  </w:t>
      </w:r>
      <w:r w:rsidRPr="007E0792">
        <w:rPr>
          <w:sz w:val="18"/>
          <w:szCs w:val="18"/>
        </w:rPr>
        <w:t xml:space="preserve"> Meets criteria</w:t>
      </w:r>
    </w:p>
    <w:p w:rsidR="001C679A" w:rsidRPr="007E0792" w:rsidRDefault="001C679A" w:rsidP="001C679A">
      <w:pPr>
        <w:numPr>
          <w:ilvl w:val="0"/>
          <w:numId w:val="14"/>
        </w:numPr>
        <w:rPr>
          <w:sz w:val="18"/>
          <w:szCs w:val="18"/>
        </w:rPr>
      </w:pPr>
      <w:r w:rsidRPr="007E0792">
        <w:rPr>
          <w:sz w:val="18"/>
          <w:szCs w:val="18"/>
        </w:rPr>
        <w:t xml:space="preserve">Other related interventions or technologies already in use also have insufficient evidence, and there may be advantages for intervention or technology over alternatives. Caution is urged if assuming “class effect.”  The criteria for concluding the existence of “class effect” are controversial. </w:t>
      </w:r>
      <w:r w:rsidRPr="007E0792">
        <w:rPr>
          <w:sz w:val="18"/>
          <w:szCs w:val="18"/>
        </w:rPr>
        <w:br/>
      </w:r>
      <w:r w:rsidRPr="007E0792">
        <w:rPr>
          <w:snapToGrid w:val="0"/>
          <w:sz w:val="18"/>
          <w:szCs w:val="18"/>
        </w:rPr>
        <w:t>[  ]  Meets criteria</w:t>
      </w:r>
    </w:p>
    <w:p w:rsidR="001C679A" w:rsidRPr="007E0792" w:rsidRDefault="001C679A" w:rsidP="001C679A">
      <w:pPr>
        <w:numPr>
          <w:ilvl w:val="0"/>
          <w:numId w:val="14"/>
        </w:numPr>
        <w:rPr>
          <w:sz w:val="18"/>
          <w:szCs w:val="18"/>
        </w:rPr>
      </w:pPr>
      <w:r w:rsidRPr="007E0792">
        <w:rPr>
          <w:sz w:val="18"/>
          <w:szCs w:val="18"/>
        </w:rPr>
        <w:t xml:space="preserve">Well-designed studies are unlikely (e.g., condition or disease is rare, topic does not lend itself to valid study design or execution and adverse clinical outcomes are likely if the </w:t>
      </w:r>
      <w:r w:rsidRPr="007E0792">
        <w:rPr>
          <w:sz w:val="18"/>
          <w:szCs w:val="18"/>
        </w:rPr>
        <w:br/>
        <w:t>condition is not treated.)</w:t>
      </w:r>
      <w:r w:rsidRPr="007E0792">
        <w:rPr>
          <w:sz w:val="18"/>
          <w:szCs w:val="18"/>
        </w:rPr>
        <w:br/>
      </w:r>
      <w:r>
        <w:rPr>
          <w:snapToGrid w:val="0"/>
          <w:sz w:val="18"/>
          <w:szCs w:val="18"/>
        </w:rPr>
        <w:t>[x</w:t>
      </w:r>
      <w:r w:rsidRPr="007E0792">
        <w:rPr>
          <w:snapToGrid w:val="0"/>
          <w:sz w:val="18"/>
          <w:szCs w:val="18"/>
        </w:rPr>
        <w:t>]  Meets criteria</w:t>
      </w:r>
    </w:p>
    <w:p w:rsidR="001C679A" w:rsidRPr="007E0792" w:rsidRDefault="001C679A" w:rsidP="001C679A">
      <w:pPr>
        <w:numPr>
          <w:ilvl w:val="0"/>
          <w:numId w:val="14"/>
        </w:numPr>
        <w:rPr>
          <w:sz w:val="18"/>
          <w:szCs w:val="18"/>
        </w:rPr>
      </w:pPr>
      <w:r w:rsidRPr="007E0792">
        <w:rPr>
          <w:sz w:val="18"/>
          <w:szCs w:val="18"/>
        </w:rPr>
        <w:t>There is sufficient evidence of effectiveness and safety in other populations to suggest net clinical benefit in this population.</w:t>
      </w:r>
      <w:r w:rsidRPr="007E0792">
        <w:rPr>
          <w:sz w:val="18"/>
          <w:szCs w:val="18"/>
        </w:rPr>
        <w:br/>
      </w:r>
      <w:r w:rsidRPr="007E0792">
        <w:rPr>
          <w:snapToGrid w:val="0"/>
          <w:sz w:val="18"/>
          <w:szCs w:val="18"/>
        </w:rPr>
        <w:t>[</w:t>
      </w:r>
      <w:r>
        <w:rPr>
          <w:snapToGrid w:val="0"/>
          <w:sz w:val="18"/>
          <w:szCs w:val="18"/>
        </w:rPr>
        <w:t>x</w:t>
      </w:r>
      <w:r w:rsidRPr="007E0792">
        <w:rPr>
          <w:snapToGrid w:val="0"/>
          <w:sz w:val="18"/>
          <w:szCs w:val="18"/>
        </w:rPr>
        <w:t>]  Meets criteria</w:t>
      </w:r>
    </w:p>
    <w:p w:rsidR="003C7827" w:rsidRPr="0064726A" w:rsidRDefault="00674FB1" w:rsidP="00B2075A">
      <w:pPr>
        <w:ind w:left="360" w:hanging="360"/>
        <w:rPr>
          <w:noProof/>
          <w:sz w:val="18"/>
          <w:szCs w:val="18"/>
        </w:rPr>
      </w:pPr>
      <w:r w:rsidRPr="0064726A">
        <w:rPr>
          <w:b/>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tblGrid>
      <w:tr w:rsidR="00CD305C" w:rsidRPr="00FF49F4" w:rsidTr="00C36854">
        <w:tc>
          <w:tcPr>
            <w:tcW w:w="2088" w:type="dxa"/>
            <w:shd w:val="clear" w:color="auto" w:fill="EEECE1"/>
          </w:tcPr>
          <w:p w:rsidR="00CD305C" w:rsidRPr="00FF49F4" w:rsidRDefault="00CD305C" w:rsidP="001E760B">
            <w:pPr>
              <w:rPr>
                <w:b/>
                <w:szCs w:val="18"/>
              </w:rPr>
            </w:pPr>
            <w:r w:rsidRPr="00FF49F4">
              <w:rPr>
                <w:b/>
                <w:szCs w:val="18"/>
              </w:rPr>
              <w:lastRenderedPageBreak/>
              <w:t>5. Examples of Ratings</w:t>
            </w:r>
          </w:p>
        </w:tc>
      </w:tr>
      <w:tr w:rsidR="00CD305C" w:rsidRPr="00FF49F4" w:rsidTr="00C36854">
        <w:tc>
          <w:tcPr>
            <w:tcW w:w="2088" w:type="dxa"/>
            <w:shd w:val="clear" w:color="auto" w:fill="auto"/>
          </w:tcPr>
          <w:p w:rsidR="00CD305C" w:rsidRPr="00FF49F4" w:rsidRDefault="00CD305C" w:rsidP="00CD305C">
            <w:pPr>
              <w:pStyle w:val="NormalWeb"/>
              <w:spacing w:before="0" w:beforeAutospacing="0" w:after="0" w:afterAutospacing="0"/>
              <w:rPr>
                <w:rFonts w:ascii="Segoe UI" w:hAnsi="Segoe UI" w:cs="Segoe UI"/>
                <w:sz w:val="20"/>
                <w:szCs w:val="18"/>
              </w:rPr>
            </w:pPr>
            <w:r w:rsidRPr="00FF49F4">
              <w:rPr>
                <w:rFonts w:ascii="Segoe UI" w:hAnsi="Segoe UI" w:cs="Segoe UI"/>
                <w:bCs/>
                <w:color w:val="000000"/>
                <w:kern w:val="24"/>
                <w:sz w:val="20"/>
                <w:szCs w:val="18"/>
              </w:rPr>
              <w:t>HIGH</w:t>
            </w:r>
          </w:p>
        </w:tc>
      </w:tr>
      <w:tr w:rsidR="00CD305C" w:rsidRPr="00FF49F4" w:rsidTr="00C36854">
        <w:tc>
          <w:tcPr>
            <w:tcW w:w="2088" w:type="dxa"/>
            <w:shd w:val="clear" w:color="auto" w:fill="auto"/>
          </w:tcPr>
          <w:p w:rsidR="00CD305C" w:rsidRPr="00FF49F4" w:rsidRDefault="00CD305C" w:rsidP="00CD305C">
            <w:pPr>
              <w:pStyle w:val="NormalWeb"/>
              <w:spacing w:before="0" w:beforeAutospacing="0" w:after="0" w:afterAutospacing="0"/>
              <w:rPr>
                <w:rFonts w:ascii="Segoe UI" w:hAnsi="Segoe UI" w:cs="Segoe UI"/>
                <w:sz w:val="20"/>
                <w:szCs w:val="18"/>
              </w:rPr>
            </w:pPr>
            <w:r w:rsidRPr="00FF49F4">
              <w:rPr>
                <w:rFonts w:ascii="Segoe UI" w:hAnsi="Segoe UI" w:cs="Segoe UI"/>
                <w:bCs/>
                <w:color w:val="000000"/>
                <w:kern w:val="24"/>
                <w:sz w:val="20"/>
                <w:szCs w:val="18"/>
              </w:rPr>
              <w:t>LARGE</w:t>
            </w:r>
          </w:p>
        </w:tc>
      </w:tr>
      <w:tr w:rsidR="00CD305C" w:rsidRPr="00FF49F4" w:rsidTr="00C36854">
        <w:tc>
          <w:tcPr>
            <w:tcW w:w="2088" w:type="dxa"/>
            <w:shd w:val="clear" w:color="auto" w:fill="auto"/>
          </w:tcPr>
          <w:p w:rsidR="00CD305C" w:rsidRPr="00FF49F4" w:rsidRDefault="00CD305C">
            <w:pPr>
              <w:pStyle w:val="NormalWeb"/>
              <w:spacing w:before="0" w:beforeAutospacing="0" w:after="0" w:afterAutospacing="0"/>
              <w:rPr>
                <w:rFonts w:ascii="Segoe UI" w:hAnsi="Segoe UI" w:cs="Segoe UI"/>
                <w:sz w:val="20"/>
                <w:szCs w:val="18"/>
              </w:rPr>
            </w:pPr>
            <w:r w:rsidRPr="00FF49F4">
              <w:rPr>
                <w:rFonts w:ascii="Segoe UI" w:hAnsi="Segoe UI" w:cs="Segoe UI"/>
                <w:bCs/>
                <w:color w:val="000000"/>
                <w:kern w:val="24"/>
                <w:sz w:val="20"/>
                <w:szCs w:val="18"/>
              </w:rPr>
              <w:t>MODERATE</w:t>
            </w:r>
          </w:p>
        </w:tc>
      </w:tr>
      <w:tr w:rsidR="00CD305C" w:rsidRPr="00FF49F4" w:rsidTr="00C36854">
        <w:tc>
          <w:tcPr>
            <w:tcW w:w="2088" w:type="dxa"/>
            <w:shd w:val="clear" w:color="auto" w:fill="auto"/>
          </w:tcPr>
          <w:p w:rsidR="00CD305C" w:rsidRPr="00FF49F4" w:rsidRDefault="00CD305C">
            <w:pPr>
              <w:pStyle w:val="NormalWeb"/>
              <w:spacing w:before="0" w:beforeAutospacing="0" w:after="0" w:afterAutospacing="0"/>
              <w:rPr>
                <w:rFonts w:ascii="Segoe UI" w:hAnsi="Segoe UI" w:cs="Segoe UI"/>
                <w:sz w:val="20"/>
                <w:szCs w:val="18"/>
              </w:rPr>
            </w:pPr>
            <w:r w:rsidRPr="00FF49F4">
              <w:rPr>
                <w:rFonts w:ascii="Segoe UI" w:hAnsi="Segoe UI" w:cs="Segoe UI"/>
                <w:bCs/>
                <w:color w:val="000000"/>
                <w:kern w:val="24"/>
                <w:sz w:val="20"/>
                <w:szCs w:val="18"/>
              </w:rPr>
              <w:t>BORDERLINE</w:t>
            </w:r>
          </w:p>
        </w:tc>
      </w:tr>
      <w:tr w:rsidR="00CD305C" w:rsidRPr="00FF49F4" w:rsidTr="00C36854">
        <w:tc>
          <w:tcPr>
            <w:tcW w:w="2088" w:type="dxa"/>
            <w:shd w:val="clear" w:color="auto" w:fill="auto"/>
          </w:tcPr>
          <w:p w:rsidR="00CD305C" w:rsidRPr="00FF49F4" w:rsidRDefault="00CD305C">
            <w:pPr>
              <w:pStyle w:val="NormalWeb"/>
              <w:spacing w:before="0" w:beforeAutospacing="0" w:after="0" w:afterAutospacing="0"/>
              <w:rPr>
                <w:rFonts w:ascii="Segoe UI" w:hAnsi="Segoe UI" w:cs="Segoe UI"/>
                <w:sz w:val="20"/>
                <w:szCs w:val="18"/>
              </w:rPr>
            </w:pPr>
            <w:r w:rsidRPr="00FF49F4">
              <w:rPr>
                <w:rFonts w:ascii="Segoe UI" w:hAnsi="Segoe UI" w:cs="Segoe UI"/>
                <w:bCs/>
                <w:color w:val="000000"/>
                <w:kern w:val="24"/>
                <w:sz w:val="20"/>
                <w:szCs w:val="18"/>
              </w:rPr>
              <w:t>INCONCLUSIVE</w:t>
            </w:r>
          </w:p>
        </w:tc>
      </w:tr>
      <w:tr w:rsidR="00CD305C" w:rsidRPr="00FF49F4" w:rsidTr="00C36854">
        <w:tc>
          <w:tcPr>
            <w:tcW w:w="2088" w:type="dxa"/>
            <w:shd w:val="clear" w:color="auto" w:fill="auto"/>
          </w:tcPr>
          <w:p w:rsidR="00CD305C" w:rsidRPr="00FF49F4" w:rsidRDefault="00CD305C">
            <w:pPr>
              <w:pStyle w:val="NormalWeb"/>
              <w:spacing w:before="0" w:beforeAutospacing="0" w:after="0" w:afterAutospacing="0"/>
              <w:rPr>
                <w:rFonts w:ascii="Segoe UI" w:hAnsi="Segoe UI" w:cs="Segoe UI"/>
                <w:sz w:val="20"/>
                <w:szCs w:val="18"/>
              </w:rPr>
            </w:pPr>
            <w:r w:rsidRPr="00FF49F4">
              <w:rPr>
                <w:rFonts w:ascii="Segoe UI" w:hAnsi="Segoe UI" w:cs="Segoe UI"/>
                <w:bCs/>
                <w:color w:val="000000"/>
                <w:kern w:val="24"/>
                <w:sz w:val="20"/>
                <w:szCs w:val="18"/>
              </w:rPr>
              <w:t>SMALL</w:t>
            </w:r>
          </w:p>
        </w:tc>
      </w:tr>
      <w:tr w:rsidR="00CD305C" w:rsidRPr="00FF49F4" w:rsidTr="00C36854">
        <w:tc>
          <w:tcPr>
            <w:tcW w:w="2088" w:type="dxa"/>
            <w:shd w:val="clear" w:color="auto" w:fill="auto"/>
          </w:tcPr>
          <w:p w:rsidR="00CD305C" w:rsidRPr="00FF49F4" w:rsidRDefault="00CD305C">
            <w:pPr>
              <w:pStyle w:val="NormalWeb"/>
              <w:spacing w:before="0" w:beforeAutospacing="0" w:after="0" w:afterAutospacing="0"/>
              <w:rPr>
                <w:rFonts w:ascii="Segoe UI" w:hAnsi="Segoe UI" w:cs="Segoe UI"/>
                <w:sz w:val="20"/>
                <w:szCs w:val="18"/>
              </w:rPr>
            </w:pPr>
            <w:r w:rsidRPr="00FF49F4">
              <w:rPr>
                <w:rFonts w:ascii="Segoe UI" w:hAnsi="Segoe UI" w:cs="Segoe UI"/>
                <w:bCs/>
                <w:color w:val="000000"/>
                <w:kern w:val="24"/>
                <w:sz w:val="20"/>
                <w:szCs w:val="18"/>
              </w:rPr>
              <w:t>LOW or LOWER</w:t>
            </w:r>
          </w:p>
        </w:tc>
      </w:tr>
      <w:tr w:rsidR="00CD305C" w:rsidRPr="00FF49F4" w:rsidTr="00C36854">
        <w:tc>
          <w:tcPr>
            <w:tcW w:w="2088" w:type="dxa"/>
            <w:shd w:val="clear" w:color="auto" w:fill="auto"/>
          </w:tcPr>
          <w:p w:rsidR="00CD305C" w:rsidRPr="00FF49F4" w:rsidRDefault="00CD305C">
            <w:pPr>
              <w:pStyle w:val="NormalWeb"/>
              <w:spacing w:before="0" w:beforeAutospacing="0" w:after="0" w:afterAutospacing="0"/>
              <w:rPr>
                <w:rFonts w:ascii="Segoe UI" w:hAnsi="Segoe UI" w:cs="Segoe UI"/>
                <w:sz w:val="20"/>
                <w:szCs w:val="18"/>
              </w:rPr>
            </w:pPr>
            <w:r w:rsidRPr="00FF49F4">
              <w:rPr>
                <w:rFonts w:ascii="Segoe UI" w:hAnsi="Segoe UI" w:cs="Segoe UI"/>
                <w:bCs/>
                <w:color w:val="000000"/>
                <w:kern w:val="24"/>
                <w:sz w:val="20"/>
                <w:szCs w:val="18"/>
              </w:rPr>
              <w:t>YES</w:t>
            </w:r>
          </w:p>
        </w:tc>
      </w:tr>
      <w:tr w:rsidR="00CD305C" w:rsidRPr="00FF49F4" w:rsidTr="00C36854">
        <w:tc>
          <w:tcPr>
            <w:tcW w:w="2088" w:type="dxa"/>
            <w:shd w:val="clear" w:color="auto" w:fill="auto"/>
          </w:tcPr>
          <w:p w:rsidR="00CD305C" w:rsidRPr="00FF49F4" w:rsidRDefault="00CD305C">
            <w:pPr>
              <w:pStyle w:val="NormalWeb"/>
              <w:spacing w:before="0" w:beforeAutospacing="0" w:after="0" w:afterAutospacing="0"/>
              <w:rPr>
                <w:rFonts w:ascii="Segoe UI" w:hAnsi="Segoe UI" w:cs="Segoe UI"/>
                <w:sz w:val="20"/>
                <w:szCs w:val="18"/>
              </w:rPr>
            </w:pPr>
            <w:r w:rsidRPr="00FF49F4">
              <w:rPr>
                <w:rFonts w:ascii="Segoe UI" w:hAnsi="Segoe UI" w:cs="Segoe UI"/>
                <w:bCs/>
                <w:color w:val="000000"/>
                <w:kern w:val="24"/>
                <w:sz w:val="20"/>
                <w:szCs w:val="18"/>
              </w:rPr>
              <w:t>NO</w:t>
            </w:r>
          </w:p>
        </w:tc>
      </w:tr>
      <w:tr w:rsidR="00CD305C" w:rsidRPr="00FF49F4" w:rsidTr="00C36854">
        <w:tc>
          <w:tcPr>
            <w:tcW w:w="2088" w:type="dxa"/>
            <w:shd w:val="clear" w:color="auto" w:fill="auto"/>
          </w:tcPr>
          <w:p w:rsidR="00CD305C" w:rsidRPr="00FF49F4" w:rsidRDefault="00CD305C">
            <w:pPr>
              <w:pStyle w:val="NormalWeb"/>
              <w:spacing w:before="0" w:beforeAutospacing="0" w:after="0" w:afterAutospacing="0"/>
              <w:rPr>
                <w:rFonts w:ascii="Segoe UI" w:hAnsi="Segoe UI" w:cs="Segoe UI"/>
                <w:sz w:val="20"/>
                <w:szCs w:val="18"/>
              </w:rPr>
            </w:pPr>
            <w:r w:rsidRPr="00FF49F4">
              <w:rPr>
                <w:rFonts w:ascii="Segoe UI" w:hAnsi="Segoe UI" w:cs="Segoe UI"/>
                <w:bCs/>
                <w:color w:val="000000"/>
                <w:kern w:val="24"/>
                <w:sz w:val="20"/>
                <w:szCs w:val="18"/>
              </w:rPr>
              <w:t>UNCERTAIN</w:t>
            </w:r>
          </w:p>
        </w:tc>
      </w:tr>
      <w:tr w:rsidR="009D0A69" w:rsidRPr="00FF49F4" w:rsidTr="00C36854">
        <w:tc>
          <w:tcPr>
            <w:tcW w:w="2088" w:type="dxa"/>
            <w:shd w:val="clear" w:color="auto" w:fill="auto"/>
          </w:tcPr>
          <w:p w:rsidR="009D0A69" w:rsidRPr="00FF49F4" w:rsidRDefault="009D0A69" w:rsidP="00C36854">
            <w:pPr>
              <w:pStyle w:val="NormalWeb"/>
              <w:spacing w:before="0" w:beforeAutospacing="0" w:after="0" w:afterAutospacing="0"/>
              <w:rPr>
                <w:rFonts w:ascii="Segoe UI" w:hAnsi="Segoe UI" w:cs="Segoe UI"/>
                <w:bCs/>
                <w:color w:val="000000"/>
                <w:kern w:val="24"/>
                <w:sz w:val="20"/>
                <w:szCs w:val="18"/>
              </w:rPr>
            </w:pPr>
            <w:r w:rsidRPr="00FF49F4">
              <w:rPr>
                <w:rFonts w:ascii="Segoe UI" w:hAnsi="Segoe UI" w:cs="Segoe UI"/>
                <w:bCs/>
                <w:color w:val="000000"/>
                <w:kern w:val="24"/>
                <w:sz w:val="20"/>
                <w:szCs w:val="18"/>
              </w:rPr>
              <w:t>UNCLEAR</w:t>
            </w:r>
          </w:p>
        </w:tc>
      </w:tr>
      <w:tr w:rsidR="00CD305C" w:rsidRPr="00FF49F4" w:rsidTr="00C36854">
        <w:tc>
          <w:tcPr>
            <w:tcW w:w="2088" w:type="dxa"/>
            <w:shd w:val="clear" w:color="auto" w:fill="auto"/>
          </w:tcPr>
          <w:p w:rsidR="00CD305C" w:rsidRPr="00FF49F4" w:rsidRDefault="00CD305C">
            <w:pPr>
              <w:pStyle w:val="NormalWeb"/>
              <w:spacing w:before="0" w:beforeAutospacing="0" w:after="0" w:afterAutospacing="0"/>
              <w:rPr>
                <w:rFonts w:ascii="Segoe UI" w:hAnsi="Segoe UI" w:cs="Segoe UI"/>
                <w:sz w:val="20"/>
                <w:szCs w:val="18"/>
              </w:rPr>
            </w:pPr>
            <w:r w:rsidRPr="00FF49F4">
              <w:rPr>
                <w:rFonts w:ascii="Segoe UI" w:hAnsi="Segoe UI" w:cs="Segoe UI"/>
                <w:bCs/>
                <w:color w:val="000000"/>
                <w:kern w:val="24"/>
                <w:sz w:val="20"/>
                <w:szCs w:val="18"/>
              </w:rPr>
              <w:t>HIGHER</w:t>
            </w:r>
          </w:p>
        </w:tc>
      </w:tr>
      <w:tr w:rsidR="00CD305C" w:rsidRPr="00FF49F4" w:rsidTr="00C36854">
        <w:tc>
          <w:tcPr>
            <w:tcW w:w="2088" w:type="dxa"/>
            <w:shd w:val="clear" w:color="auto" w:fill="auto"/>
          </w:tcPr>
          <w:p w:rsidR="00CD305C" w:rsidRPr="00FF49F4" w:rsidRDefault="00CD305C">
            <w:pPr>
              <w:pStyle w:val="NormalWeb"/>
              <w:spacing w:before="0" w:beforeAutospacing="0" w:after="0" w:afterAutospacing="0"/>
              <w:rPr>
                <w:rFonts w:ascii="Segoe UI" w:hAnsi="Segoe UI" w:cs="Segoe UI"/>
                <w:sz w:val="20"/>
                <w:szCs w:val="18"/>
              </w:rPr>
            </w:pPr>
            <w:r w:rsidRPr="00FF49F4">
              <w:rPr>
                <w:rFonts w:ascii="Segoe UI" w:hAnsi="Segoe UI" w:cs="Segoe UI"/>
                <w:bCs/>
                <w:color w:val="000000"/>
                <w:kern w:val="24"/>
                <w:sz w:val="20"/>
                <w:szCs w:val="18"/>
              </w:rPr>
              <w:t>SIMILAR</w:t>
            </w:r>
          </w:p>
        </w:tc>
      </w:tr>
      <w:tr w:rsidR="009D0A69" w:rsidRPr="00FF49F4" w:rsidTr="00C36854">
        <w:tc>
          <w:tcPr>
            <w:tcW w:w="2088" w:type="dxa"/>
            <w:shd w:val="clear" w:color="auto" w:fill="auto"/>
          </w:tcPr>
          <w:p w:rsidR="009D0A69" w:rsidRPr="00FF49F4" w:rsidRDefault="009D0A69" w:rsidP="00C36854">
            <w:pPr>
              <w:pStyle w:val="NormalWeb"/>
              <w:spacing w:before="0" w:beforeAutospacing="0" w:after="0" w:afterAutospacing="0"/>
              <w:rPr>
                <w:rFonts w:ascii="Segoe UI" w:hAnsi="Segoe UI" w:cs="Segoe UI"/>
                <w:bCs/>
                <w:color w:val="000000"/>
                <w:kern w:val="24"/>
                <w:sz w:val="20"/>
                <w:szCs w:val="18"/>
              </w:rPr>
            </w:pPr>
            <w:r w:rsidRPr="00FF49F4">
              <w:rPr>
                <w:rFonts w:ascii="Segoe UI" w:hAnsi="Segoe UI" w:cs="Segoe UI"/>
                <w:bCs/>
                <w:color w:val="000000"/>
                <w:kern w:val="24"/>
                <w:sz w:val="20"/>
                <w:szCs w:val="18"/>
              </w:rPr>
              <w:t>&lt;</w:t>
            </w:r>
          </w:p>
        </w:tc>
      </w:tr>
      <w:tr w:rsidR="009D0A69" w:rsidRPr="00FF49F4" w:rsidTr="00C36854">
        <w:tc>
          <w:tcPr>
            <w:tcW w:w="2088" w:type="dxa"/>
            <w:shd w:val="clear" w:color="auto" w:fill="auto"/>
          </w:tcPr>
          <w:p w:rsidR="009D0A69" w:rsidRPr="00FF49F4" w:rsidRDefault="009D0A69" w:rsidP="00C36854">
            <w:pPr>
              <w:pStyle w:val="NormalWeb"/>
              <w:spacing w:before="0" w:beforeAutospacing="0" w:after="0" w:afterAutospacing="0"/>
              <w:rPr>
                <w:rFonts w:ascii="Segoe UI" w:hAnsi="Segoe UI" w:cs="Segoe UI"/>
                <w:bCs/>
                <w:color w:val="000000"/>
                <w:kern w:val="24"/>
                <w:sz w:val="20"/>
                <w:szCs w:val="18"/>
              </w:rPr>
            </w:pPr>
            <w:r w:rsidRPr="00FF49F4">
              <w:rPr>
                <w:rFonts w:ascii="Segoe UI" w:hAnsi="Segoe UI" w:cs="Segoe UI"/>
                <w:bCs/>
                <w:color w:val="000000"/>
                <w:kern w:val="24"/>
                <w:sz w:val="20"/>
                <w:szCs w:val="18"/>
              </w:rPr>
              <w:t>&gt;</w:t>
            </w:r>
          </w:p>
        </w:tc>
      </w:tr>
    </w:tbl>
    <w:p w:rsidR="00FF49F4" w:rsidRDefault="00FF49F4" w:rsidP="001E760B">
      <w:pPr>
        <w:rPr>
          <w:b/>
          <w:sz w:val="18"/>
          <w:szCs w:val="18"/>
        </w:rPr>
      </w:pPr>
    </w:p>
    <w:p w:rsidR="00FF49F4" w:rsidRDefault="00FF49F4" w:rsidP="001E760B">
      <w:pPr>
        <w:rPr>
          <w:b/>
          <w:sz w:val="18"/>
          <w:szCs w:val="18"/>
        </w:rPr>
      </w:pPr>
    </w:p>
    <w:p w:rsidR="004D3CA8" w:rsidRPr="0064726A" w:rsidRDefault="004D3CA8" w:rsidP="001E760B">
      <w:pPr>
        <w:rPr>
          <w:sz w:val="18"/>
          <w:szCs w:val="18"/>
        </w:rPr>
      </w:pPr>
    </w:p>
    <w:sectPr w:rsidR="004D3CA8" w:rsidRPr="0064726A" w:rsidSect="00984120">
      <w:headerReference w:type="default" r:id="rId9"/>
      <w:footerReference w:type="default" r:id="rId10"/>
      <w:pgSz w:w="15840" w:h="12240" w:orient="landscape" w:code="1"/>
      <w:pgMar w:top="432" w:right="1080" w:bottom="432" w:left="1080" w:header="432"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C1" w:rsidRDefault="00F516C1">
      <w:r>
        <w:separator/>
      </w:r>
    </w:p>
  </w:endnote>
  <w:endnote w:type="continuationSeparator" w:id="0">
    <w:p w:rsidR="00F516C1" w:rsidRDefault="00F5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B8" w:rsidRPr="00AF6423" w:rsidRDefault="00281AB8" w:rsidP="00984120">
    <w:pPr>
      <w:pStyle w:val="Footer"/>
      <w:tabs>
        <w:tab w:val="clear" w:pos="4320"/>
        <w:tab w:val="clear" w:pos="8640"/>
        <w:tab w:val="center" w:pos="7200"/>
        <w:tab w:val="right" w:pos="14100"/>
        <w:tab w:val="right" w:pos="16100"/>
      </w:tabs>
      <w:rPr>
        <w:rFonts w:ascii="Calibri" w:hAnsi="Calibri"/>
        <w:sz w:val="16"/>
        <w:szCs w:val="16"/>
      </w:rPr>
    </w:pPr>
    <w:r w:rsidRPr="00AF6423">
      <w:rPr>
        <w:rFonts w:ascii="Calibri" w:hAnsi="Calibri"/>
        <w:sz w:val="16"/>
        <w:szCs w:val="16"/>
      </w:rPr>
      <w:t>www.delfini.org</w:t>
    </w:r>
    <w:r w:rsidRPr="00AF6423">
      <w:rPr>
        <w:rFonts w:ascii="Calibri" w:hAnsi="Calibri"/>
        <w:sz w:val="16"/>
        <w:szCs w:val="16"/>
      </w:rPr>
      <w:tab/>
      <w:t xml:space="preserve">© </w:t>
    </w:r>
    <w:r w:rsidR="00984120">
      <w:rPr>
        <w:rFonts w:ascii="Calibri" w:hAnsi="Calibri"/>
        <w:sz w:val="16"/>
        <w:szCs w:val="16"/>
      </w:rPr>
      <w:t xml:space="preserve">2010-2011 </w:t>
    </w:r>
    <w:r w:rsidRPr="00AF6423">
      <w:rPr>
        <w:rFonts w:ascii="Calibri" w:hAnsi="Calibri"/>
        <w:sz w:val="16"/>
        <w:szCs w:val="16"/>
      </w:rPr>
      <w:t>Delfini Group, LLC</w:t>
    </w:r>
    <w:r>
      <w:rPr>
        <w:rFonts w:ascii="Calibri" w:hAnsi="Calibri"/>
        <w:sz w:val="16"/>
        <w:szCs w:val="16"/>
      </w:rPr>
      <w:tab/>
    </w:r>
    <w:r w:rsidRPr="00AF6423">
      <w:rPr>
        <w:rFonts w:ascii="Calibri" w:hAnsi="Calibri"/>
        <w:sz w:val="16"/>
        <w:szCs w:val="16"/>
      </w:rPr>
      <w:t xml:space="preserve">Page </w:t>
    </w:r>
    <w:r w:rsidRPr="00AF6423">
      <w:rPr>
        <w:rStyle w:val="PageNumber"/>
        <w:rFonts w:ascii="Calibri" w:hAnsi="Calibri"/>
        <w:sz w:val="16"/>
        <w:szCs w:val="16"/>
      </w:rPr>
      <w:fldChar w:fldCharType="begin"/>
    </w:r>
    <w:r w:rsidRPr="00AF6423">
      <w:rPr>
        <w:rStyle w:val="PageNumber"/>
        <w:rFonts w:ascii="Calibri" w:hAnsi="Calibri"/>
        <w:sz w:val="16"/>
        <w:szCs w:val="16"/>
      </w:rPr>
      <w:instrText xml:space="preserve"> PAGE </w:instrText>
    </w:r>
    <w:r w:rsidRPr="00AF6423">
      <w:rPr>
        <w:rStyle w:val="PageNumber"/>
        <w:rFonts w:ascii="Calibri" w:hAnsi="Calibri"/>
        <w:sz w:val="16"/>
        <w:szCs w:val="16"/>
      </w:rPr>
      <w:fldChar w:fldCharType="separate"/>
    </w:r>
    <w:r w:rsidR="00895387">
      <w:rPr>
        <w:rStyle w:val="PageNumber"/>
        <w:rFonts w:ascii="Calibri" w:hAnsi="Calibri"/>
        <w:noProof/>
        <w:sz w:val="16"/>
        <w:szCs w:val="16"/>
      </w:rPr>
      <w:t>1</w:t>
    </w:r>
    <w:r w:rsidRPr="00AF6423">
      <w:rPr>
        <w:rStyle w:val="PageNumber"/>
        <w:rFonts w:ascii="Calibri" w:hAnsi="Calibri"/>
        <w:sz w:val="16"/>
        <w:szCs w:val="16"/>
      </w:rPr>
      <w:fldChar w:fldCharType="end"/>
    </w:r>
    <w:r w:rsidRPr="00AF6423">
      <w:rPr>
        <w:rStyle w:val="PageNumber"/>
        <w:rFonts w:ascii="Calibri" w:hAnsi="Calibri"/>
        <w:sz w:val="16"/>
        <w:szCs w:val="16"/>
      </w:rPr>
      <w:t xml:space="preserve"> of </w:t>
    </w:r>
    <w:r w:rsidRPr="00AF6423">
      <w:rPr>
        <w:rStyle w:val="PageNumber"/>
        <w:rFonts w:ascii="Calibri" w:hAnsi="Calibri"/>
        <w:sz w:val="16"/>
        <w:szCs w:val="16"/>
      </w:rPr>
      <w:fldChar w:fldCharType="begin"/>
    </w:r>
    <w:r w:rsidRPr="00AF6423">
      <w:rPr>
        <w:rStyle w:val="PageNumber"/>
        <w:rFonts w:ascii="Calibri" w:hAnsi="Calibri"/>
        <w:sz w:val="16"/>
        <w:szCs w:val="16"/>
      </w:rPr>
      <w:instrText xml:space="preserve"> NUMPAGES </w:instrText>
    </w:r>
    <w:r w:rsidRPr="00AF6423">
      <w:rPr>
        <w:rStyle w:val="PageNumber"/>
        <w:rFonts w:ascii="Calibri" w:hAnsi="Calibri"/>
        <w:sz w:val="16"/>
        <w:szCs w:val="16"/>
      </w:rPr>
      <w:fldChar w:fldCharType="separate"/>
    </w:r>
    <w:r w:rsidR="00895387">
      <w:rPr>
        <w:rStyle w:val="PageNumber"/>
        <w:rFonts w:ascii="Calibri" w:hAnsi="Calibri"/>
        <w:noProof/>
        <w:sz w:val="16"/>
        <w:szCs w:val="16"/>
      </w:rPr>
      <w:t>6</w:t>
    </w:r>
    <w:r w:rsidRPr="00AF6423">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C1" w:rsidRDefault="00F516C1">
      <w:r>
        <w:separator/>
      </w:r>
    </w:p>
  </w:footnote>
  <w:footnote w:type="continuationSeparator" w:id="0">
    <w:p w:rsidR="00F516C1" w:rsidRDefault="00F51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78" w:type="dxa"/>
      <w:tblLook w:val="01E0" w:firstRow="1" w:lastRow="1" w:firstColumn="1" w:lastColumn="1" w:noHBand="0" w:noVBand="0"/>
    </w:tblPr>
    <w:tblGrid>
      <w:gridCol w:w="13878"/>
    </w:tblGrid>
    <w:tr w:rsidR="00984120" w:rsidRPr="00367FE8" w:rsidTr="00984120">
      <w:trPr>
        <w:trHeight w:val="657"/>
      </w:trPr>
      <w:tc>
        <w:tcPr>
          <w:tcW w:w="13878" w:type="dxa"/>
          <w:shd w:val="clear" w:color="auto" w:fill="000066"/>
          <w:vAlign w:val="center"/>
        </w:tcPr>
        <w:p w:rsidR="00984120" w:rsidRDefault="00984120" w:rsidP="00622AEA">
          <w:pPr>
            <w:pStyle w:val="Title"/>
            <w:jc w:val="left"/>
            <w:rPr>
              <w:bCs/>
              <w:iCs/>
              <w:color w:val="FFFFFF"/>
              <w:sz w:val="28"/>
              <w:szCs w:val="16"/>
            </w:rPr>
          </w:pPr>
          <w:r w:rsidRPr="006B347E">
            <w:rPr>
              <w:bCs/>
              <w:i/>
              <w:iCs/>
              <w:color w:val="FFFFFF"/>
              <w:sz w:val="32"/>
              <w:szCs w:val="16"/>
            </w:rPr>
            <w:t>Delfini</w:t>
          </w:r>
          <w:r w:rsidRPr="006B347E">
            <w:rPr>
              <w:bCs/>
              <w:iCs/>
              <w:color w:val="FFFFFF"/>
              <w:sz w:val="32"/>
              <w:szCs w:val="16"/>
            </w:rPr>
            <w:t xml:space="preserve"> </w:t>
          </w:r>
          <w:r w:rsidR="00FF49F4">
            <w:rPr>
              <w:bCs/>
              <w:iCs/>
              <w:color w:val="FFFFFF"/>
              <w:sz w:val="28"/>
              <w:szCs w:val="16"/>
            </w:rPr>
            <w:t>Decision Support Examples</w:t>
          </w:r>
        </w:p>
        <w:p w:rsidR="00984120" w:rsidRPr="003F5BB0" w:rsidRDefault="00FF49F4" w:rsidP="00622AEA">
          <w:pPr>
            <w:pStyle w:val="Title"/>
            <w:jc w:val="left"/>
            <w:rPr>
              <w:bCs/>
              <w:iCs/>
              <w:color w:val="FFFFFF"/>
              <w:sz w:val="28"/>
              <w:szCs w:val="16"/>
            </w:rPr>
          </w:pPr>
          <w:r>
            <w:rPr>
              <w:bCs/>
              <w:iCs/>
              <w:color w:val="FFFFFF"/>
              <w:sz w:val="28"/>
              <w:szCs w:val="16"/>
            </w:rPr>
            <w:t>“Semaphores”</w:t>
          </w:r>
        </w:p>
      </w:tc>
    </w:tr>
  </w:tbl>
  <w:p w:rsidR="00984120" w:rsidRDefault="00984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7E20"/>
    <w:multiLevelType w:val="hybridMultilevel"/>
    <w:tmpl w:val="C95EB2CA"/>
    <w:lvl w:ilvl="0" w:tplc="D0168EC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D417DD"/>
    <w:multiLevelType w:val="hybridMultilevel"/>
    <w:tmpl w:val="55D88FB6"/>
    <w:lvl w:ilvl="0" w:tplc="F7E8408C">
      <w:start w:val="1"/>
      <w:numFmt w:val="bullet"/>
      <w:lvlText w:val=""/>
      <w:lvlJc w:val="left"/>
      <w:pPr>
        <w:tabs>
          <w:tab w:val="num" w:pos="144"/>
        </w:tabs>
        <w:ind w:left="144" w:hanging="144"/>
      </w:pPr>
      <w:rPr>
        <w:rFonts w:ascii="Wingdings" w:hAnsi="Wingdings" w:hint="default"/>
        <w:color w:val="auto"/>
      </w:rPr>
    </w:lvl>
    <w:lvl w:ilvl="1" w:tplc="F7E8408C">
      <w:start w:val="1"/>
      <w:numFmt w:val="bullet"/>
      <w:lvlText w:val=""/>
      <w:lvlJc w:val="left"/>
      <w:pPr>
        <w:tabs>
          <w:tab w:val="num" w:pos="864"/>
        </w:tabs>
        <w:ind w:left="864" w:hanging="144"/>
      </w:pPr>
      <w:rPr>
        <w:rFonts w:ascii="Wingdings" w:hAnsi="Wingding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75563E"/>
    <w:multiLevelType w:val="hybridMultilevel"/>
    <w:tmpl w:val="A200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72945"/>
    <w:multiLevelType w:val="hybridMultilevel"/>
    <w:tmpl w:val="DB920760"/>
    <w:lvl w:ilvl="0" w:tplc="F7E8408C">
      <w:start w:val="1"/>
      <w:numFmt w:val="bullet"/>
      <w:lvlText w:val=""/>
      <w:lvlJc w:val="left"/>
      <w:pPr>
        <w:tabs>
          <w:tab w:val="num" w:pos="144"/>
        </w:tabs>
        <w:ind w:left="144" w:hanging="144"/>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B54156"/>
    <w:multiLevelType w:val="hybridMultilevel"/>
    <w:tmpl w:val="9CA28614"/>
    <w:lvl w:ilvl="0" w:tplc="0409000F">
      <w:start w:val="1"/>
      <w:numFmt w:val="decimal"/>
      <w:lvlText w:val="%1."/>
      <w:lvlJc w:val="left"/>
      <w:pPr>
        <w:tabs>
          <w:tab w:val="num" w:pos="720"/>
        </w:tabs>
        <w:ind w:left="720" w:hanging="360"/>
      </w:pPr>
    </w:lvl>
    <w:lvl w:ilvl="1" w:tplc="F7E8408C">
      <w:start w:val="1"/>
      <w:numFmt w:val="bullet"/>
      <w:lvlText w:val=""/>
      <w:lvlJc w:val="left"/>
      <w:pPr>
        <w:tabs>
          <w:tab w:val="num" w:pos="1224"/>
        </w:tabs>
        <w:ind w:left="1224" w:hanging="144"/>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C944D5"/>
    <w:multiLevelType w:val="hybridMultilevel"/>
    <w:tmpl w:val="D646B2B6"/>
    <w:lvl w:ilvl="0" w:tplc="F7E8408C">
      <w:start w:val="1"/>
      <w:numFmt w:val="bullet"/>
      <w:lvlText w:val=""/>
      <w:lvlJc w:val="left"/>
      <w:pPr>
        <w:tabs>
          <w:tab w:val="num" w:pos="144"/>
        </w:tabs>
        <w:ind w:left="144" w:hanging="14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9B01E6"/>
    <w:multiLevelType w:val="hybridMultilevel"/>
    <w:tmpl w:val="EA520BD0"/>
    <w:lvl w:ilvl="0" w:tplc="28A24AE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CE6F6B"/>
    <w:multiLevelType w:val="hybridMultilevel"/>
    <w:tmpl w:val="6614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9662D"/>
    <w:multiLevelType w:val="multilevel"/>
    <w:tmpl w:val="EA520BD0"/>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7030B1B"/>
    <w:multiLevelType w:val="hybridMultilevel"/>
    <w:tmpl w:val="63C2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44214E"/>
    <w:multiLevelType w:val="hybridMultilevel"/>
    <w:tmpl w:val="29A4DA10"/>
    <w:lvl w:ilvl="0" w:tplc="F7E8408C">
      <w:start w:val="1"/>
      <w:numFmt w:val="bullet"/>
      <w:lvlText w:val=""/>
      <w:lvlJc w:val="left"/>
      <w:pPr>
        <w:tabs>
          <w:tab w:val="num" w:pos="144"/>
        </w:tabs>
        <w:ind w:left="144" w:hanging="144"/>
      </w:pPr>
      <w:rPr>
        <w:rFonts w:ascii="Wingdings" w:hAnsi="Wingdings" w:hint="default"/>
        <w:color w:val="auto"/>
      </w:rPr>
    </w:lvl>
    <w:lvl w:ilvl="1" w:tplc="F7E8408C">
      <w:start w:val="1"/>
      <w:numFmt w:val="bullet"/>
      <w:lvlText w:val=""/>
      <w:lvlJc w:val="left"/>
      <w:pPr>
        <w:tabs>
          <w:tab w:val="num" w:pos="864"/>
        </w:tabs>
        <w:ind w:left="864" w:hanging="144"/>
      </w:pPr>
      <w:rPr>
        <w:rFonts w:ascii="Wingdings" w:hAnsi="Wingding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9351E3"/>
    <w:multiLevelType w:val="hybridMultilevel"/>
    <w:tmpl w:val="C6089636"/>
    <w:lvl w:ilvl="0" w:tplc="D0168EC4">
      <w:start w:val="1"/>
      <w:numFmt w:val="decimal"/>
      <w:lvlText w:val="%1."/>
      <w:lvlJc w:val="left"/>
      <w:pPr>
        <w:tabs>
          <w:tab w:val="num" w:pos="360"/>
        </w:tabs>
        <w:ind w:left="360" w:hanging="360"/>
      </w:pPr>
      <w:rPr>
        <w:rFonts w:hint="default"/>
        <w:b/>
        <w:i w:val="0"/>
      </w:rPr>
    </w:lvl>
    <w:lvl w:ilvl="1" w:tplc="F7E8408C">
      <w:start w:val="1"/>
      <w:numFmt w:val="bullet"/>
      <w:lvlText w:val=""/>
      <w:lvlJc w:val="left"/>
      <w:pPr>
        <w:tabs>
          <w:tab w:val="num" w:pos="1224"/>
        </w:tabs>
        <w:ind w:left="1224" w:hanging="144"/>
      </w:pPr>
      <w:rPr>
        <w:rFonts w:ascii="Wingdings" w:hAnsi="Wingdings"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833EA6"/>
    <w:multiLevelType w:val="hybridMultilevel"/>
    <w:tmpl w:val="2BBAFA12"/>
    <w:lvl w:ilvl="0" w:tplc="F7E8408C">
      <w:start w:val="1"/>
      <w:numFmt w:val="bullet"/>
      <w:lvlText w:val=""/>
      <w:lvlJc w:val="left"/>
      <w:pPr>
        <w:tabs>
          <w:tab w:val="num" w:pos="144"/>
        </w:tabs>
        <w:ind w:left="144" w:hanging="14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2B1D41"/>
    <w:multiLevelType w:val="hybridMultilevel"/>
    <w:tmpl w:val="1302A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631BDF"/>
    <w:multiLevelType w:val="hybridMultilevel"/>
    <w:tmpl w:val="F34EBE26"/>
    <w:lvl w:ilvl="0" w:tplc="F7E8408C">
      <w:start w:val="1"/>
      <w:numFmt w:val="bullet"/>
      <w:lvlText w:val=""/>
      <w:lvlJc w:val="left"/>
      <w:pPr>
        <w:tabs>
          <w:tab w:val="num" w:pos="144"/>
        </w:tabs>
        <w:ind w:left="144" w:hanging="14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24456F"/>
    <w:multiLevelType w:val="hybridMultilevel"/>
    <w:tmpl w:val="D614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7026D"/>
    <w:multiLevelType w:val="hybridMultilevel"/>
    <w:tmpl w:val="61CC48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EA92279"/>
    <w:multiLevelType w:val="hybridMultilevel"/>
    <w:tmpl w:val="5052B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8F0BB1"/>
    <w:multiLevelType w:val="hybridMultilevel"/>
    <w:tmpl w:val="06D42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7"/>
  </w:num>
  <w:num w:numId="4">
    <w:abstractNumId w:val="13"/>
  </w:num>
  <w:num w:numId="5">
    <w:abstractNumId w:val="4"/>
  </w:num>
  <w:num w:numId="6">
    <w:abstractNumId w:val="10"/>
  </w:num>
  <w:num w:numId="7">
    <w:abstractNumId w:val="1"/>
  </w:num>
  <w:num w:numId="8">
    <w:abstractNumId w:val="16"/>
  </w:num>
  <w:num w:numId="9">
    <w:abstractNumId w:val="15"/>
  </w:num>
  <w:num w:numId="10">
    <w:abstractNumId w:val="11"/>
  </w:num>
  <w:num w:numId="11">
    <w:abstractNumId w:val="14"/>
  </w:num>
  <w:num w:numId="12">
    <w:abstractNumId w:val="12"/>
  </w:num>
  <w:num w:numId="13">
    <w:abstractNumId w:val="8"/>
  </w:num>
  <w:num w:numId="14">
    <w:abstractNumId w:val="0"/>
  </w:num>
  <w:num w:numId="15">
    <w:abstractNumId w:val="3"/>
  </w:num>
  <w:num w:numId="16">
    <w:abstractNumId w:val="9"/>
  </w:num>
  <w:num w:numId="17">
    <w:abstractNumId w:val="7"/>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CD"/>
    <w:rsid w:val="0000693B"/>
    <w:rsid w:val="000123D2"/>
    <w:rsid w:val="00015241"/>
    <w:rsid w:val="00017B00"/>
    <w:rsid w:val="000234B2"/>
    <w:rsid w:val="00041463"/>
    <w:rsid w:val="00052B3C"/>
    <w:rsid w:val="0005351A"/>
    <w:rsid w:val="0005421A"/>
    <w:rsid w:val="00054430"/>
    <w:rsid w:val="00073418"/>
    <w:rsid w:val="00075411"/>
    <w:rsid w:val="00081797"/>
    <w:rsid w:val="00087C85"/>
    <w:rsid w:val="000B11C9"/>
    <w:rsid w:val="000B272F"/>
    <w:rsid w:val="000B3B0F"/>
    <w:rsid w:val="000B4DD6"/>
    <w:rsid w:val="000C220F"/>
    <w:rsid w:val="000C4BB8"/>
    <w:rsid w:val="000D09CE"/>
    <w:rsid w:val="000D57BF"/>
    <w:rsid w:val="000F534F"/>
    <w:rsid w:val="00105420"/>
    <w:rsid w:val="00142980"/>
    <w:rsid w:val="001439B1"/>
    <w:rsid w:val="00144043"/>
    <w:rsid w:val="00191D06"/>
    <w:rsid w:val="00196816"/>
    <w:rsid w:val="001973D9"/>
    <w:rsid w:val="001A37D2"/>
    <w:rsid w:val="001A7C2E"/>
    <w:rsid w:val="001B3D6D"/>
    <w:rsid w:val="001C679A"/>
    <w:rsid w:val="001E24D7"/>
    <w:rsid w:val="001E310D"/>
    <w:rsid w:val="001E760B"/>
    <w:rsid w:val="001F2885"/>
    <w:rsid w:val="0020071B"/>
    <w:rsid w:val="00202A74"/>
    <w:rsid w:val="00210229"/>
    <w:rsid w:val="00230163"/>
    <w:rsid w:val="00235BE2"/>
    <w:rsid w:val="00251E8F"/>
    <w:rsid w:val="00270DEC"/>
    <w:rsid w:val="002738D7"/>
    <w:rsid w:val="00277618"/>
    <w:rsid w:val="00281AB8"/>
    <w:rsid w:val="00295253"/>
    <w:rsid w:val="002A27F6"/>
    <w:rsid w:val="002B7C26"/>
    <w:rsid w:val="002C714A"/>
    <w:rsid w:val="002D3E29"/>
    <w:rsid w:val="002D522C"/>
    <w:rsid w:val="002D79ED"/>
    <w:rsid w:val="002E3D91"/>
    <w:rsid w:val="002E45E6"/>
    <w:rsid w:val="0033544D"/>
    <w:rsid w:val="003625DE"/>
    <w:rsid w:val="00367F1E"/>
    <w:rsid w:val="0037549E"/>
    <w:rsid w:val="003A2A50"/>
    <w:rsid w:val="003B04C3"/>
    <w:rsid w:val="003C6238"/>
    <w:rsid w:val="003C7827"/>
    <w:rsid w:val="003E629B"/>
    <w:rsid w:val="003E6A83"/>
    <w:rsid w:val="00405B93"/>
    <w:rsid w:val="00431229"/>
    <w:rsid w:val="00431B25"/>
    <w:rsid w:val="00431F9E"/>
    <w:rsid w:val="00432277"/>
    <w:rsid w:val="0043707C"/>
    <w:rsid w:val="004425B8"/>
    <w:rsid w:val="00456E8B"/>
    <w:rsid w:val="004615DC"/>
    <w:rsid w:val="004832F2"/>
    <w:rsid w:val="00487244"/>
    <w:rsid w:val="00497DBF"/>
    <w:rsid w:val="004A6494"/>
    <w:rsid w:val="004B0D49"/>
    <w:rsid w:val="004B611D"/>
    <w:rsid w:val="004C2F11"/>
    <w:rsid w:val="004D3CA8"/>
    <w:rsid w:val="004D792D"/>
    <w:rsid w:val="004F5B5F"/>
    <w:rsid w:val="005041BE"/>
    <w:rsid w:val="00563BEC"/>
    <w:rsid w:val="00574CD0"/>
    <w:rsid w:val="00580128"/>
    <w:rsid w:val="005926B8"/>
    <w:rsid w:val="005A4379"/>
    <w:rsid w:val="005A78D4"/>
    <w:rsid w:val="005B6E2C"/>
    <w:rsid w:val="005C3D9A"/>
    <w:rsid w:val="005D5DAB"/>
    <w:rsid w:val="005F0AEB"/>
    <w:rsid w:val="005F7933"/>
    <w:rsid w:val="00612202"/>
    <w:rsid w:val="00622AEA"/>
    <w:rsid w:val="0062564F"/>
    <w:rsid w:val="00626D9A"/>
    <w:rsid w:val="00631539"/>
    <w:rsid w:val="0063312D"/>
    <w:rsid w:val="00634EF8"/>
    <w:rsid w:val="00641326"/>
    <w:rsid w:val="0064726A"/>
    <w:rsid w:val="0065569A"/>
    <w:rsid w:val="0066673D"/>
    <w:rsid w:val="00672638"/>
    <w:rsid w:val="00674FB1"/>
    <w:rsid w:val="006904EE"/>
    <w:rsid w:val="006A7EA1"/>
    <w:rsid w:val="006B79EC"/>
    <w:rsid w:val="006C1107"/>
    <w:rsid w:val="006D5589"/>
    <w:rsid w:val="006E22D4"/>
    <w:rsid w:val="006E5450"/>
    <w:rsid w:val="006F24C4"/>
    <w:rsid w:val="006F6AA3"/>
    <w:rsid w:val="0070494F"/>
    <w:rsid w:val="00726E98"/>
    <w:rsid w:val="00731AAB"/>
    <w:rsid w:val="00733135"/>
    <w:rsid w:val="0074283A"/>
    <w:rsid w:val="0074411D"/>
    <w:rsid w:val="007474E0"/>
    <w:rsid w:val="00755D01"/>
    <w:rsid w:val="007751A3"/>
    <w:rsid w:val="00781940"/>
    <w:rsid w:val="0078711F"/>
    <w:rsid w:val="0079019F"/>
    <w:rsid w:val="007A39C2"/>
    <w:rsid w:val="007B6A6E"/>
    <w:rsid w:val="007D35B6"/>
    <w:rsid w:val="007E0792"/>
    <w:rsid w:val="007F448F"/>
    <w:rsid w:val="007F6499"/>
    <w:rsid w:val="00821C8C"/>
    <w:rsid w:val="008402C5"/>
    <w:rsid w:val="00841CEC"/>
    <w:rsid w:val="008677B7"/>
    <w:rsid w:val="008678F7"/>
    <w:rsid w:val="008743A1"/>
    <w:rsid w:val="00885CB9"/>
    <w:rsid w:val="00895387"/>
    <w:rsid w:val="008B32E6"/>
    <w:rsid w:val="008C0AF4"/>
    <w:rsid w:val="008F2B45"/>
    <w:rsid w:val="00962AD8"/>
    <w:rsid w:val="009663F0"/>
    <w:rsid w:val="00977B66"/>
    <w:rsid w:val="00984120"/>
    <w:rsid w:val="00986831"/>
    <w:rsid w:val="00997B74"/>
    <w:rsid w:val="009B16F1"/>
    <w:rsid w:val="009C3AE2"/>
    <w:rsid w:val="009D0A69"/>
    <w:rsid w:val="009F7985"/>
    <w:rsid w:val="00A036CF"/>
    <w:rsid w:val="00A44A43"/>
    <w:rsid w:val="00A61096"/>
    <w:rsid w:val="00A95035"/>
    <w:rsid w:val="00AA185D"/>
    <w:rsid w:val="00AD24A3"/>
    <w:rsid w:val="00AD3517"/>
    <w:rsid w:val="00AE1516"/>
    <w:rsid w:val="00AE1DB5"/>
    <w:rsid w:val="00AF6423"/>
    <w:rsid w:val="00B057CF"/>
    <w:rsid w:val="00B07ABE"/>
    <w:rsid w:val="00B20038"/>
    <w:rsid w:val="00B2075A"/>
    <w:rsid w:val="00B26393"/>
    <w:rsid w:val="00B33269"/>
    <w:rsid w:val="00B35C92"/>
    <w:rsid w:val="00B37F54"/>
    <w:rsid w:val="00B52B04"/>
    <w:rsid w:val="00B62DDA"/>
    <w:rsid w:val="00B763C3"/>
    <w:rsid w:val="00B82A8A"/>
    <w:rsid w:val="00B8678E"/>
    <w:rsid w:val="00BA4A9B"/>
    <w:rsid w:val="00BA5060"/>
    <w:rsid w:val="00BC5262"/>
    <w:rsid w:val="00BE6A7E"/>
    <w:rsid w:val="00BE7234"/>
    <w:rsid w:val="00C129A2"/>
    <w:rsid w:val="00C17645"/>
    <w:rsid w:val="00C26FFB"/>
    <w:rsid w:val="00C32E89"/>
    <w:rsid w:val="00C36854"/>
    <w:rsid w:val="00C41115"/>
    <w:rsid w:val="00C47D7F"/>
    <w:rsid w:val="00C5185B"/>
    <w:rsid w:val="00C66E61"/>
    <w:rsid w:val="00C737F1"/>
    <w:rsid w:val="00C740A7"/>
    <w:rsid w:val="00C83BEF"/>
    <w:rsid w:val="00CA12AC"/>
    <w:rsid w:val="00CA1BD5"/>
    <w:rsid w:val="00CA407C"/>
    <w:rsid w:val="00CA45A0"/>
    <w:rsid w:val="00CB747D"/>
    <w:rsid w:val="00CC4208"/>
    <w:rsid w:val="00CD305C"/>
    <w:rsid w:val="00CD551B"/>
    <w:rsid w:val="00D019D7"/>
    <w:rsid w:val="00D228A7"/>
    <w:rsid w:val="00D27F38"/>
    <w:rsid w:val="00D34693"/>
    <w:rsid w:val="00D34EBC"/>
    <w:rsid w:val="00D36C92"/>
    <w:rsid w:val="00D4183A"/>
    <w:rsid w:val="00D529AB"/>
    <w:rsid w:val="00D60BE0"/>
    <w:rsid w:val="00DA4D99"/>
    <w:rsid w:val="00DC2294"/>
    <w:rsid w:val="00DD77FE"/>
    <w:rsid w:val="00DE3B5A"/>
    <w:rsid w:val="00DF50CD"/>
    <w:rsid w:val="00E15531"/>
    <w:rsid w:val="00E20D5C"/>
    <w:rsid w:val="00E4613B"/>
    <w:rsid w:val="00E47712"/>
    <w:rsid w:val="00E6185F"/>
    <w:rsid w:val="00E81BAE"/>
    <w:rsid w:val="00E82732"/>
    <w:rsid w:val="00E842F0"/>
    <w:rsid w:val="00E9539E"/>
    <w:rsid w:val="00EB5E53"/>
    <w:rsid w:val="00EF1769"/>
    <w:rsid w:val="00EF39B3"/>
    <w:rsid w:val="00EF4632"/>
    <w:rsid w:val="00F01902"/>
    <w:rsid w:val="00F02684"/>
    <w:rsid w:val="00F02C4C"/>
    <w:rsid w:val="00F10DB8"/>
    <w:rsid w:val="00F12B72"/>
    <w:rsid w:val="00F228B7"/>
    <w:rsid w:val="00F35CEB"/>
    <w:rsid w:val="00F516C1"/>
    <w:rsid w:val="00F5659C"/>
    <w:rsid w:val="00F573E8"/>
    <w:rsid w:val="00F67E23"/>
    <w:rsid w:val="00F72B86"/>
    <w:rsid w:val="00F83478"/>
    <w:rsid w:val="00F939D1"/>
    <w:rsid w:val="00F94CF3"/>
    <w:rsid w:val="00F96923"/>
    <w:rsid w:val="00F96E8C"/>
    <w:rsid w:val="00FC04C1"/>
    <w:rsid w:val="00FD0C87"/>
    <w:rsid w:val="00FD2FB9"/>
    <w:rsid w:val="00FD4E1F"/>
    <w:rsid w:val="00FF258F"/>
    <w:rsid w:val="00FF3B23"/>
    <w:rsid w:val="00FF49F4"/>
    <w:rsid w:val="00F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D9A"/>
    <w:rPr>
      <w:rFonts w:ascii="Segoe UI" w:hAnsi="Segoe UI" w:cs="Segoe UI"/>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F6499"/>
    <w:rPr>
      <w:rFonts w:ascii="Tahoma" w:hAnsi="Tahoma" w:cs="Tahoma"/>
      <w:sz w:val="16"/>
      <w:szCs w:val="16"/>
    </w:rPr>
  </w:style>
  <w:style w:type="character" w:customStyle="1" w:styleId="BalloonTextChar">
    <w:name w:val="Balloon Text Char"/>
    <w:link w:val="BalloonText"/>
    <w:rsid w:val="007F6499"/>
    <w:rPr>
      <w:rFonts w:ascii="Tahoma" w:hAnsi="Tahoma" w:cs="Tahoma"/>
      <w:bCs/>
      <w:color w:val="000000"/>
      <w:sz w:val="16"/>
      <w:szCs w:val="16"/>
    </w:rPr>
  </w:style>
  <w:style w:type="paragraph" w:styleId="Header">
    <w:name w:val="header"/>
    <w:basedOn w:val="Normal"/>
    <w:link w:val="HeaderChar"/>
    <w:uiPriority w:val="99"/>
    <w:rsid w:val="00AF6423"/>
    <w:pPr>
      <w:tabs>
        <w:tab w:val="center" w:pos="4320"/>
        <w:tab w:val="right" w:pos="8640"/>
      </w:tabs>
    </w:pPr>
  </w:style>
  <w:style w:type="paragraph" w:styleId="Footer">
    <w:name w:val="footer"/>
    <w:basedOn w:val="Normal"/>
    <w:rsid w:val="00AF6423"/>
    <w:pPr>
      <w:tabs>
        <w:tab w:val="center" w:pos="4320"/>
        <w:tab w:val="right" w:pos="8640"/>
      </w:tabs>
    </w:pPr>
  </w:style>
  <w:style w:type="character" w:styleId="PageNumber">
    <w:name w:val="page number"/>
    <w:basedOn w:val="DefaultParagraphFont"/>
    <w:rsid w:val="00AF6423"/>
  </w:style>
  <w:style w:type="paragraph" w:styleId="NormalWeb">
    <w:name w:val="Normal (Web)"/>
    <w:basedOn w:val="Normal"/>
    <w:uiPriority w:val="99"/>
    <w:unhideWhenUsed/>
    <w:rsid w:val="0033544D"/>
    <w:pPr>
      <w:spacing w:before="100" w:beforeAutospacing="1" w:after="100" w:afterAutospacing="1"/>
    </w:pPr>
    <w:rPr>
      <w:rFonts w:ascii="Times New Roman" w:hAnsi="Times New Roman" w:cs="Times New Roman"/>
      <w:bCs w:val="0"/>
      <w:color w:val="auto"/>
      <w:sz w:val="24"/>
      <w:szCs w:val="24"/>
    </w:rPr>
  </w:style>
  <w:style w:type="character" w:styleId="Hyperlink">
    <w:name w:val="Hyperlink"/>
    <w:uiPriority w:val="99"/>
    <w:unhideWhenUsed/>
    <w:rsid w:val="004D3CA8"/>
    <w:rPr>
      <w:color w:val="0000FF"/>
      <w:u w:val="single"/>
    </w:rPr>
  </w:style>
  <w:style w:type="character" w:customStyle="1" w:styleId="HeaderChar">
    <w:name w:val="Header Char"/>
    <w:link w:val="Header"/>
    <w:uiPriority w:val="99"/>
    <w:rsid w:val="00984120"/>
    <w:rPr>
      <w:rFonts w:ascii="Segoe UI" w:hAnsi="Segoe UI" w:cs="Segoe UI"/>
      <w:bCs/>
      <w:color w:val="000000"/>
    </w:rPr>
  </w:style>
  <w:style w:type="paragraph" w:styleId="Title">
    <w:name w:val="Title"/>
    <w:basedOn w:val="Normal"/>
    <w:link w:val="TitleChar"/>
    <w:qFormat/>
    <w:rsid w:val="00984120"/>
    <w:pPr>
      <w:tabs>
        <w:tab w:val="left" w:pos="5310"/>
      </w:tabs>
      <w:jc w:val="center"/>
    </w:pPr>
    <w:rPr>
      <w:rFonts w:ascii="Palatino Linotype" w:hAnsi="Palatino Linotype" w:cs="Times New Roman"/>
      <w:b/>
      <w:bCs w:val="0"/>
      <w:color w:val="auto"/>
      <w:sz w:val="24"/>
      <w:szCs w:val="24"/>
    </w:rPr>
  </w:style>
  <w:style w:type="character" w:customStyle="1" w:styleId="TitleChar">
    <w:name w:val="Title Char"/>
    <w:link w:val="Title"/>
    <w:rsid w:val="00984120"/>
    <w:rPr>
      <w:rFonts w:ascii="Palatino Linotype" w:hAnsi="Palatino Linotype"/>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D9A"/>
    <w:rPr>
      <w:rFonts w:ascii="Segoe UI" w:hAnsi="Segoe UI" w:cs="Segoe UI"/>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F6499"/>
    <w:rPr>
      <w:rFonts w:ascii="Tahoma" w:hAnsi="Tahoma" w:cs="Tahoma"/>
      <w:sz w:val="16"/>
      <w:szCs w:val="16"/>
    </w:rPr>
  </w:style>
  <w:style w:type="character" w:customStyle="1" w:styleId="BalloonTextChar">
    <w:name w:val="Balloon Text Char"/>
    <w:link w:val="BalloonText"/>
    <w:rsid w:val="007F6499"/>
    <w:rPr>
      <w:rFonts w:ascii="Tahoma" w:hAnsi="Tahoma" w:cs="Tahoma"/>
      <w:bCs/>
      <w:color w:val="000000"/>
      <w:sz w:val="16"/>
      <w:szCs w:val="16"/>
    </w:rPr>
  </w:style>
  <w:style w:type="paragraph" w:styleId="Header">
    <w:name w:val="header"/>
    <w:basedOn w:val="Normal"/>
    <w:link w:val="HeaderChar"/>
    <w:uiPriority w:val="99"/>
    <w:rsid w:val="00AF6423"/>
    <w:pPr>
      <w:tabs>
        <w:tab w:val="center" w:pos="4320"/>
        <w:tab w:val="right" w:pos="8640"/>
      </w:tabs>
    </w:pPr>
  </w:style>
  <w:style w:type="paragraph" w:styleId="Footer">
    <w:name w:val="footer"/>
    <w:basedOn w:val="Normal"/>
    <w:rsid w:val="00AF6423"/>
    <w:pPr>
      <w:tabs>
        <w:tab w:val="center" w:pos="4320"/>
        <w:tab w:val="right" w:pos="8640"/>
      </w:tabs>
    </w:pPr>
  </w:style>
  <w:style w:type="character" w:styleId="PageNumber">
    <w:name w:val="page number"/>
    <w:basedOn w:val="DefaultParagraphFont"/>
    <w:rsid w:val="00AF6423"/>
  </w:style>
  <w:style w:type="paragraph" w:styleId="NormalWeb">
    <w:name w:val="Normal (Web)"/>
    <w:basedOn w:val="Normal"/>
    <w:uiPriority w:val="99"/>
    <w:unhideWhenUsed/>
    <w:rsid w:val="0033544D"/>
    <w:pPr>
      <w:spacing w:before="100" w:beforeAutospacing="1" w:after="100" w:afterAutospacing="1"/>
    </w:pPr>
    <w:rPr>
      <w:rFonts w:ascii="Times New Roman" w:hAnsi="Times New Roman" w:cs="Times New Roman"/>
      <w:bCs w:val="0"/>
      <w:color w:val="auto"/>
      <w:sz w:val="24"/>
      <w:szCs w:val="24"/>
    </w:rPr>
  </w:style>
  <w:style w:type="character" w:styleId="Hyperlink">
    <w:name w:val="Hyperlink"/>
    <w:uiPriority w:val="99"/>
    <w:unhideWhenUsed/>
    <w:rsid w:val="004D3CA8"/>
    <w:rPr>
      <w:color w:val="0000FF"/>
      <w:u w:val="single"/>
    </w:rPr>
  </w:style>
  <w:style w:type="character" w:customStyle="1" w:styleId="HeaderChar">
    <w:name w:val="Header Char"/>
    <w:link w:val="Header"/>
    <w:uiPriority w:val="99"/>
    <w:rsid w:val="00984120"/>
    <w:rPr>
      <w:rFonts w:ascii="Segoe UI" w:hAnsi="Segoe UI" w:cs="Segoe UI"/>
      <w:bCs/>
      <w:color w:val="000000"/>
    </w:rPr>
  </w:style>
  <w:style w:type="paragraph" w:styleId="Title">
    <w:name w:val="Title"/>
    <w:basedOn w:val="Normal"/>
    <w:link w:val="TitleChar"/>
    <w:qFormat/>
    <w:rsid w:val="00984120"/>
    <w:pPr>
      <w:tabs>
        <w:tab w:val="left" w:pos="5310"/>
      </w:tabs>
      <w:jc w:val="center"/>
    </w:pPr>
    <w:rPr>
      <w:rFonts w:ascii="Palatino Linotype" w:hAnsi="Palatino Linotype" w:cs="Times New Roman"/>
      <w:b/>
      <w:bCs w:val="0"/>
      <w:color w:val="auto"/>
      <w:sz w:val="24"/>
      <w:szCs w:val="24"/>
    </w:rPr>
  </w:style>
  <w:style w:type="character" w:customStyle="1" w:styleId="TitleChar">
    <w:name w:val="Title Char"/>
    <w:link w:val="Title"/>
    <w:rsid w:val="00984120"/>
    <w:rPr>
      <w:rFonts w:ascii="Palatino Linotype" w:hAnsi="Palatino Linotype"/>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7800">
      <w:bodyDiv w:val="1"/>
      <w:marLeft w:val="0"/>
      <w:marRight w:val="0"/>
      <w:marTop w:val="0"/>
      <w:marBottom w:val="0"/>
      <w:divBdr>
        <w:top w:val="none" w:sz="0" w:space="0" w:color="auto"/>
        <w:left w:val="none" w:sz="0" w:space="0" w:color="auto"/>
        <w:bottom w:val="none" w:sz="0" w:space="0" w:color="auto"/>
        <w:right w:val="none" w:sz="0" w:space="0" w:color="auto"/>
      </w:divBdr>
    </w:div>
    <w:div w:id="20750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a.hca.wa.gov/breas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Evidence Review Summary by Considerations</vt:lpstr>
    </vt:vector>
  </TitlesOfParts>
  <Company>Toshiba</Company>
  <LinksUpToDate>false</LinksUpToDate>
  <CharactersWithSpaces>10012</CharactersWithSpaces>
  <SharedDoc>false</SharedDoc>
  <HLinks>
    <vt:vector size="6" baseType="variant">
      <vt:variant>
        <vt:i4>5242905</vt:i4>
      </vt:variant>
      <vt:variant>
        <vt:i4>0</vt:i4>
      </vt:variant>
      <vt:variant>
        <vt:i4>0</vt:i4>
      </vt:variant>
      <vt:variant>
        <vt:i4>5</vt:i4>
      </vt:variant>
      <vt:variant>
        <vt:lpwstr>http://www.hta.hca.wa.gov/breast.html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Review Summary by Considerations</dc:title>
  <dc:creator>sheri</dc:creator>
  <cp:lastModifiedBy>Sheri</cp:lastModifiedBy>
  <cp:revision>4</cp:revision>
  <cp:lastPrinted>2011-08-08T18:35:00Z</cp:lastPrinted>
  <dcterms:created xsi:type="dcterms:W3CDTF">2011-06-25T16:46:00Z</dcterms:created>
  <dcterms:modified xsi:type="dcterms:W3CDTF">2011-08-08T18:52:00Z</dcterms:modified>
</cp:coreProperties>
</file>